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9A" w:rsidRPr="0021429A" w:rsidRDefault="0021429A" w:rsidP="0021429A">
      <w:pPr>
        <w:shd w:val="clear" w:color="auto" w:fill="FFFFFF"/>
        <w:spacing w:before="240" w:after="148" w:line="240" w:lineRule="auto"/>
        <w:outlineLvl w:val="1"/>
        <w:rPr>
          <w:rFonts w:ascii="Century Gothic" w:eastAsia="Times New Roman" w:hAnsi="Century Gothic" w:cs="Helvetica"/>
          <w:b/>
          <w:bCs/>
          <w:sz w:val="36"/>
          <w:szCs w:val="20"/>
          <w:lang w:eastAsia="ca-ES"/>
        </w:rPr>
      </w:pPr>
      <w:r w:rsidRPr="0021429A">
        <w:rPr>
          <w:rFonts w:ascii="Century Gothic" w:eastAsia="Times New Roman" w:hAnsi="Century Gothic" w:cs="Helvetica"/>
          <w:b/>
          <w:bCs/>
          <w:sz w:val="36"/>
          <w:szCs w:val="20"/>
          <w:lang w:eastAsia="ca-ES"/>
        </w:rPr>
        <w:t>BAREMS</w:t>
      </w:r>
    </w:p>
    <w:p w:rsidR="0021429A" w:rsidRPr="0021429A" w:rsidRDefault="0021429A" w:rsidP="0021429A">
      <w:pPr>
        <w:shd w:val="clear" w:color="auto" w:fill="FFFFFF"/>
        <w:spacing w:before="240" w:after="148" w:line="240" w:lineRule="auto"/>
        <w:outlineLvl w:val="1"/>
        <w:rPr>
          <w:rFonts w:ascii="Century Gothic" w:eastAsia="Times New Roman" w:hAnsi="Century Gothic" w:cs="Helvetica"/>
          <w:b/>
          <w:bCs/>
          <w:sz w:val="20"/>
          <w:szCs w:val="20"/>
          <w:lang w:eastAsia="ca-ES"/>
        </w:rPr>
      </w:pPr>
    </w:p>
    <w:p w:rsidR="0021429A" w:rsidRPr="0021429A" w:rsidRDefault="0021429A" w:rsidP="0021429A">
      <w:pPr>
        <w:shd w:val="clear" w:color="auto" w:fill="FFFFFF"/>
        <w:spacing w:before="240" w:after="148" w:line="240" w:lineRule="auto"/>
        <w:jc w:val="both"/>
        <w:outlineLvl w:val="1"/>
        <w:rPr>
          <w:rFonts w:ascii="Century Gothic" w:eastAsia="Times New Roman" w:hAnsi="Century Gothic" w:cs="Helvetica"/>
          <w:b/>
          <w:bCs/>
          <w:sz w:val="20"/>
          <w:szCs w:val="20"/>
          <w:lang w:eastAsia="ca-ES"/>
        </w:rPr>
      </w:pPr>
      <w:r w:rsidRPr="0021429A">
        <w:rPr>
          <w:rFonts w:ascii="Century Gothic" w:eastAsia="Times New Roman" w:hAnsi="Century Gothic" w:cs="Helvetica"/>
          <w:b/>
          <w:bCs/>
          <w:sz w:val="20"/>
          <w:szCs w:val="20"/>
          <w:lang w:eastAsia="ca-ES"/>
        </w:rPr>
        <w:t>1. L'adscripció dels centres</w:t>
      </w:r>
    </w:p>
    <w:p w:rsidR="0021429A" w:rsidRP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L'adscripció té com a objectiu garantir la continuïtat dels estudis per cursar el batxillerat. Aquest sistema permet que els centres que imparteixen l'educació secundària obligatòria tinguin un o més centres de batxillerat de continuïtat, amb els quals poder coordinar tant el pas de l'alumnat a l'institut com la continuïtat pedagògica entre les dues etapes educatives.</w:t>
      </w:r>
    </w:p>
    <w:p w:rsid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 xml:space="preserve">L'adscripció possibilita que totes les sol·licituds de preinscripció en un centre de batxillerat d'alumnes que hagin estudiat la secundària en un centre adscrit, tinguin prioritat en l'assignació de places per davant dels que provinguin d'altres centres no adscrits, amb independència de la puntuació obtinguda per la resta de criteris. </w:t>
      </w:r>
    </w:p>
    <w:p w:rsid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rPr>
          <w:rFonts w:ascii="Century Gothic" w:eastAsia="Times New Roman" w:hAnsi="Century Gothic" w:cs="Helvetica"/>
          <w:sz w:val="20"/>
          <w:szCs w:val="20"/>
          <w:lang w:eastAsia="ca-ES"/>
        </w:rPr>
        <w:t>Els centres adscrits a l’Institut a Plana són:</w:t>
      </w:r>
    </w:p>
    <w:p w:rsidR="0021429A" w:rsidRDefault="0021429A" w:rsidP="0021429A">
      <w:pPr>
        <w:shd w:val="clear" w:color="auto" w:fill="FFFFFF"/>
        <w:spacing w:after="150" w:line="240" w:lineRule="auto"/>
        <w:jc w:val="both"/>
      </w:pPr>
      <w:r>
        <w:t xml:space="preserve">08030911 Sagrat Cor de Jesús (Vic) </w:t>
      </w:r>
    </w:p>
    <w:p w:rsidR="0021429A" w:rsidRP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t>08068380 INS Gurb (Gurb)</w:t>
      </w:r>
    </w:p>
    <w:p w:rsidR="0021429A" w:rsidRP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Només en el cas que el nombre de sol·licituds d'alumnes de centres adscrits sigui superior al nombre de places de l'institut, entraran en joc els criteris prioritaris i complementaris.</w:t>
      </w:r>
    </w:p>
    <w:p w:rsidR="0021429A" w:rsidRPr="0021429A" w:rsidRDefault="0021429A" w:rsidP="0021429A">
      <w:pPr>
        <w:shd w:val="clear" w:color="auto" w:fill="FFFFFF"/>
        <w:spacing w:before="240" w:after="148" w:line="240" w:lineRule="auto"/>
        <w:jc w:val="both"/>
        <w:outlineLvl w:val="1"/>
        <w:rPr>
          <w:rFonts w:ascii="Century Gothic" w:eastAsia="Times New Roman" w:hAnsi="Century Gothic" w:cs="Helvetica"/>
          <w:b/>
          <w:bCs/>
          <w:sz w:val="20"/>
          <w:szCs w:val="20"/>
          <w:lang w:eastAsia="ca-ES"/>
        </w:rPr>
      </w:pPr>
    </w:p>
    <w:p w:rsidR="0021429A" w:rsidRPr="0021429A" w:rsidRDefault="0021429A" w:rsidP="0021429A">
      <w:pPr>
        <w:shd w:val="clear" w:color="auto" w:fill="FFFFFF"/>
        <w:spacing w:before="240" w:after="148" w:line="240" w:lineRule="auto"/>
        <w:jc w:val="both"/>
        <w:outlineLvl w:val="1"/>
        <w:rPr>
          <w:rFonts w:ascii="Century Gothic" w:eastAsia="Times New Roman" w:hAnsi="Century Gothic" w:cs="Helvetica"/>
          <w:b/>
          <w:bCs/>
          <w:sz w:val="20"/>
          <w:szCs w:val="20"/>
          <w:lang w:eastAsia="ca-ES"/>
        </w:rPr>
      </w:pPr>
      <w:r w:rsidRPr="0021429A">
        <w:rPr>
          <w:rFonts w:ascii="Century Gothic" w:eastAsia="Times New Roman" w:hAnsi="Century Gothic" w:cs="Helvetica"/>
          <w:b/>
          <w:bCs/>
          <w:sz w:val="20"/>
          <w:szCs w:val="20"/>
          <w:lang w:eastAsia="ca-ES"/>
        </w:rPr>
        <w:t>2. Criteris prioritaris i criteris complementaris</w:t>
      </w:r>
    </w:p>
    <w:p w:rsidR="0021429A" w:rsidRP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Els </w:t>
      </w:r>
      <w:r w:rsidRPr="0021429A">
        <w:rPr>
          <w:rFonts w:ascii="Century Gothic" w:eastAsia="Times New Roman" w:hAnsi="Century Gothic" w:cs="Helvetica"/>
          <w:b/>
          <w:bCs/>
          <w:sz w:val="20"/>
          <w:szCs w:val="20"/>
          <w:lang w:eastAsia="ca-ES"/>
        </w:rPr>
        <w:t>criteris prioritaris</w:t>
      </w:r>
      <w:r w:rsidRPr="0021429A">
        <w:rPr>
          <w:rFonts w:ascii="Century Gothic" w:eastAsia="Times New Roman" w:hAnsi="Century Gothic" w:cs="Helvetica"/>
          <w:sz w:val="20"/>
          <w:szCs w:val="20"/>
          <w:lang w:eastAsia="ca-ES"/>
        </w:rPr>
        <w:t> són els següents:</w:t>
      </w:r>
    </w:p>
    <w:p w:rsidR="0021429A" w:rsidRPr="0021429A" w:rsidRDefault="0021429A" w:rsidP="0021429A">
      <w:pPr>
        <w:numPr>
          <w:ilvl w:val="0"/>
          <w:numId w:val="1"/>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 xml:space="preserve">Quan el jove que opta a la plaça té germans o germanes que ja estudien al mateix centre educatiu. Se sumen 50 punts. </w:t>
      </w:r>
    </w:p>
    <w:p w:rsidR="0021429A" w:rsidRPr="0021429A" w:rsidRDefault="0021429A" w:rsidP="0021429A">
      <w:pPr>
        <w:numPr>
          <w:ilvl w:val="0"/>
          <w:numId w:val="1"/>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Proximitat geogràfica del domicili habitual o del lloc de treball del pare o la mare a l'escola.</w:t>
      </w:r>
      <w:r w:rsidRPr="0021429A">
        <w:rPr>
          <w:rFonts w:ascii="Century Gothic" w:eastAsia="Times New Roman" w:hAnsi="Century Gothic" w:cs="Helvetica"/>
          <w:sz w:val="20"/>
          <w:szCs w:val="20"/>
          <w:lang w:eastAsia="ca-ES"/>
        </w:rPr>
        <w:t> Cada centre té una zona educativa que estableix el criteri de proximitat, i això permet sumar puntuacions diferents segons les circumstàncies:</w:t>
      </w:r>
    </w:p>
    <w:p w:rsidR="0021429A" w:rsidRPr="0021429A" w:rsidRDefault="0021429A" w:rsidP="0021429A">
      <w:pPr>
        <w:numPr>
          <w:ilvl w:val="1"/>
          <w:numId w:val="1"/>
        </w:numPr>
        <w:shd w:val="clear" w:color="auto" w:fill="FFFFFF"/>
        <w:spacing w:before="100" w:beforeAutospacing="1" w:after="90" w:line="240" w:lineRule="auto"/>
        <w:ind w:left="570"/>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Quan el domicili habitual de la família es troba dins la zona educativa del centre escolar que es demana en primer lloc se sumen </w:t>
      </w:r>
      <w:r w:rsidRPr="0021429A">
        <w:rPr>
          <w:rFonts w:ascii="Century Gothic" w:eastAsia="Times New Roman" w:hAnsi="Century Gothic" w:cs="Helvetica"/>
          <w:b/>
          <w:bCs/>
          <w:sz w:val="20"/>
          <w:szCs w:val="20"/>
          <w:lang w:eastAsia="ca-ES"/>
        </w:rPr>
        <w:t>30 punts</w:t>
      </w:r>
      <w:r w:rsidRPr="0021429A">
        <w:rPr>
          <w:rFonts w:ascii="Century Gothic" w:eastAsia="Times New Roman" w:hAnsi="Century Gothic" w:cs="Helvetica"/>
          <w:sz w:val="20"/>
          <w:szCs w:val="20"/>
          <w:lang w:eastAsia="ca-ES"/>
        </w:rPr>
        <w:t>.</w:t>
      </w:r>
    </w:p>
    <w:p w:rsidR="0021429A" w:rsidRDefault="0021429A" w:rsidP="0021429A">
      <w:pPr>
        <w:numPr>
          <w:ilvl w:val="1"/>
          <w:numId w:val="1"/>
        </w:numPr>
        <w:shd w:val="clear" w:color="auto" w:fill="FFFFFF"/>
        <w:spacing w:before="100" w:beforeAutospacing="1" w:after="90" w:line="240" w:lineRule="auto"/>
        <w:ind w:left="570"/>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Quan la ubicació del lloc de feina del pare, la mare, el tutor o la tutora està dins la zona educativa del centre triat en primer lloc se sumen </w:t>
      </w:r>
      <w:r w:rsidRPr="0021429A">
        <w:rPr>
          <w:rFonts w:ascii="Century Gothic" w:eastAsia="Times New Roman" w:hAnsi="Century Gothic" w:cs="Helvetica"/>
          <w:b/>
          <w:bCs/>
          <w:sz w:val="20"/>
          <w:szCs w:val="20"/>
          <w:lang w:eastAsia="ca-ES"/>
        </w:rPr>
        <w:t>20 punts</w:t>
      </w:r>
      <w:r w:rsidRPr="0021429A">
        <w:rPr>
          <w:rFonts w:ascii="Century Gothic" w:eastAsia="Times New Roman" w:hAnsi="Century Gothic" w:cs="Helvetica"/>
          <w:sz w:val="20"/>
          <w:szCs w:val="20"/>
          <w:lang w:eastAsia="ca-ES"/>
        </w:rPr>
        <w:t>.</w:t>
      </w:r>
    </w:p>
    <w:p w:rsidR="0021429A" w:rsidRPr="0021429A" w:rsidRDefault="0021429A" w:rsidP="0021429A">
      <w:pPr>
        <w:shd w:val="clear" w:color="auto" w:fill="FFFFFF"/>
        <w:spacing w:before="100" w:beforeAutospacing="1" w:after="90" w:line="240" w:lineRule="auto"/>
        <w:ind w:left="570"/>
        <w:jc w:val="both"/>
        <w:rPr>
          <w:rFonts w:ascii="Century Gothic" w:eastAsia="Times New Roman" w:hAnsi="Century Gothic" w:cs="Helvetica"/>
          <w:sz w:val="20"/>
          <w:szCs w:val="20"/>
          <w:lang w:eastAsia="ca-ES"/>
        </w:rPr>
      </w:pPr>
      <w:r>
        <w:rPr>
          <w:rFonts w:ascii="Century Gothic" w:eastAsia="Times New Roman" w:hAnsi="Century Gothic" w:cs="Helvetica"/>
          <w:sz w:val="20"/>
          <w:szCs w:val="20"/>
          <w:lang w:eastAsia="ca-ES"/>
        </w:rPr>
        <w:t>La zona educativa de l’Institut la Plana correspon als municipis de Vic i Malla.</w:t>
      </w:r>
    </w:p>
    <w:p w:rsidR="0021429A" w:rsidRPr="0021429A" w:rsidRDefault="0021429A" w:rsidP="0021429A">
      <w:pPr>
        <w:numPr>
          <w:ilvl w:val="0"/>
          <w:numId w:val="1"/>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Si la família percep la renda garantida de ciutadania, se sumen 15 punts.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1"/>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lastRenderedPageBreak/>
        <w:t>Expedient acadèmic. Se suma la qualificació mitjana dels estudis que permeten l'accés a batxillerat: </w:t>
      </w:r>
      <w:r w:rsidRPr="0021429A">
        <w:rPr>
          <w:rFonts w:ascii="Century Gothic" w:eastAsia="Times New Roman" w:hAnsi="Century Gothic" w:cs="Helvetica"/>
          <w:sz w:val="20"/>
          <w:szCs w:val="20"/>
          <w:lang w:eastAsia="ca-ES"/>
        </w:rPr>
        <w:t>qualificació mitjana, calculada amb dos decimals. Si l'alumne encara està cursant els estudis previs en el moment de la sol·licitud, s'utilitza la qualificació mitjana dels cursos d'aquests estudis ja avaluats definitivament, calculada també amb dos decimals.</w:t>
      </w:r>
    </w:p>
    <w:p w:rsidR="0021429A" w:rsidRPr="0021429A" w:rsidRDefault="0021429A" w:rsidP="0021429A">
      <w:pPr>
        <w:shd w:val="clear" w:color="auto" w:fill="FFFFFF"/>
        <w:spacing w:after="150" w:line="240" w:lineRule="auto"/>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Pel que fa als </w:t>
      </w:r>
      <w:r w:rsidRPr="0021429A">
        <w:rPr>
          <w:rFonts w:ascii="Century Gothic" w:eastAsia="Times New Roman" w:hAnsi="Century Gothic" w:cs="Helvetica"/>
          <w:b/>
          <w:bCs/>
          <w:sz w:val="20"/>
          <w:szCs w:val="20"/>
          <w:lang w:eastAsia="ca-ES"/>
        </w:rPr>
        <w:t>criteris complementaris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Criteri del pare, mare o el tutor o la tutora legal treballant al centre educatiu. </w:t>
      </w:r>
      <w:r w:rsidRPr="0021429A">
        <w:rPr>
          <w:rFonts w:ascii="Century Gothic" w:eastAsia="Times New Roman" w:hAnsi="Century Gothic" w:cs="Helvetica"/>
          <w:sz w:val="20"/>
          <w:szCs w:val="20"/>
          <w:lang w:eastAsia="ca-ES"/>
        </w:rPr>
        <w:t xml:space="preserve">Quan el pare, la mare o el tutor o tutora legal treballen al centre en el moment en què </w:t>
      </w:r>
      <w:bookmarkStart w:id="0" w:name="_GoBack"/>
      <w:bookmarkEnd w:id="0"/>
      <w:r w:rsidRPr="0021429A">
        <w:rPr>
          <w:rFonts w:ascii="Century Gothic" w:eastAsia="Times New Roman" w:hAnsi="Century Gothic" w:cs="Helvetica"/>
          <w:sz w:val="20"/>
          <w:szCs w:val="20"/>
          <w:lang w:eastAsia="ca-ES"/>
        </w:rPr>
        <w:t>es presenta la sol·licitud de preinscripció, se sumen </w:t>
      </w:r>
      <w:r w:rsidRPr="0021429A">
        <w:rPr>
          <w:rFonts w:ascii="Century Gothic" w:eastAsia="Times New Roman" w:hAnsi="Century Gothic" w:cs="Helvetica"/>
          <w:b/>
          <w:bCs/>
          <w:sz w:val="20"/>
          <w:szCs w:val="20"/>
          <w:lang w:eastAsia="ca-ES"/>
        </w:rPr>
        <w:t>10 punts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Família nombrosa.</w:t>
      </w:r>
      <w:r w:rsidRPr="0021429A">
        <w:rPr>
          <w:rFonts w:ascii="Arial" w:eastAsia="Times New Roman" w:hAnsi="Arial" w:cs="Arial"/>
          <w:sz w:val="20"/>
          <w:szCs w:val="20"/>
          <w:lang w:eastAsia="ca-ES"/>
        </w:rPr>
        <w:t> </w:t>
      </w:r>
      <w:r w:rsidRPr="0021429A">
        <w:rPr>
          <w:rFonts w:ascii="Century Gothic" w:eastAsia="Times New Roman" w:hAnsi="Century Gothic" w:cs="Helvetica"/>
          <w:sz w:val="20"/>
          <w:szCs w:val="20"/>
          <w:lang w:eastAsia="ca-ES"/>
        </w:rPr>
        <w:t xml:space="preserve"> Quan l'infant forma part d'una fam</w:t>
      </w:r>
      <w:r w:rsidRPr="0021429A">
        <w:rPr>
          <w:rFonts w:ascii="Century Gothic" w:eastAsia="Times New Roman" w:hAnsi="Century Gothic" w:cs="Century Gothic"/>
          <w:sz w:val="20"/>
          <w:szCs w:val="20"/>
          <w:lang w:eastAsia="ca-ES"/>
        </w:rPr>
        <w:t>í</w:t>
      </w:r>
      <w:r w:rsidRPr="0021429A">
        <w:rPr>
          <w:rFonts w:ascii="Century Gothic" w:eastAsia="Times New Roman" w:hAnsi="Century Gothic" w:cs="Helvetica"/>
          <w:sz w:val="20"/>
          <w:szCs w:val="20"/>
          <w:lang w:eastAsia="ca-ES"/>
        </w:rPr>
        <w:t>lia nombrosa, se sumen</w:t>
      </w:r>
      <w:r w:rsidRPr="0021429A">
        <w:rPr>
          <w:rFonts w:ascii="Century Gothic" w:eastAsia="Times New Roman" w:hAnsi="Century Gothic" w:cs="Century Gothic"/>
          <w:sz w:val="20"/>
          <w:szCs w:val="20"/>
          <w:lang w:eastAsia="ca-ES"/>
        </w:rPr>
        <w:t> </w:t>
      </w:r>
      <w:r w:rsidRPr="0021429A">
        <w:rPr>
          <w:rFonts w:ascii="Century Gothic" w:eastAsia="Times New Roman" w:hAnsi="Century Gothic" w:cs="Helvetica"/>
          <w:b/>
          <w:bCs/>
          <w:sz w:val="20"/>
          <w:szCs w:val="20"/>
          <w:lang w:eastAsia="ca-ES"/>
        </w:rPr>
        <w:t>10 punts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Família monoparental.</w:t>
      </w:r>
      <w:r w:rsidRPr="0021429A">
        <w:rPr>
          <w:rFonts w:ascii="Century Gothic" w:eastAsia="Times New Roman" w:hAnsi="Century Gothic" w:cs="Helvetica"/>
          <w:sz w:val="20"/>
          <w:szCs w:val="20"/>
          <w:lang w:eastAsia="ca-ES"/>
        </w:rPr>
        <w:t> Quan l'infant forma part d'una família monoparental, se sumen </w:t>
      </w:r>
      <w:r w:rsidRPr="0021429A">
        <w:rPr>
          <w:rFonts w:ascii="Century Gothic" w:eastAsia="Times New Roman" w:hAnsi="Century Gothic" w:cs="Helvetica"/>
          <w:b/>
          <w:bCs/>
          <w:sz w:val="20"/>
          <w:szCs w:val="20"/>
          <w:lang w:eastAsia="ca-ES"/>
        </w:rPr>
        <w:t>10 punts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Ser bessó o trigemin.</w:t>
      </w:r>
      <w:r w:rsidRPr="0021429A">
        <w:rPr>
          <w:rFonts w:ascii="Century Gothic" w:eastAsia="Times New Roman" w:hAnsi="Century Gothic" w:cs="Helvetica"/>
          <w:sz w:val="20"/>
          <w:szCs w:val="20"/>
          <w:lang w:eastAsia="ca-ES"/>
        </w:rPr>
        <w:t> Quan l'alumne o alumna hagi nascut en un part múltiple, se sumen </w:t>
      </w:r>
      <w:r w:rsidRPr="0021429A">
        <w:rPr>
          <w:rFonts w:ascii="Century Gothic" w:eastAsia="Times New Roman" w:hAnsi="Century Gothic" w:cs="Helvetica"/>
          <w:b/>
          <w:bCs/>
          <w:sz w:val="20"/>
          <w:szCs w:val="20"/>
          <w:lang w:eastAsia="ca-ES"/>
        </w:rPr>
        <w:t>10 punts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Quan l'alumne o alumna es troba en </w:t>
      </w:r>
      <w:r w:rsidRPr="0021429A">
        <w:rPr>
          <w:rFonts w:ascii="Century Gothic" w:eastAsia="Times New Roman" w:hAnsi="Century Gothic" w:cs="Helvetica"/>
          <w:b/>
          <w:bCs/>
          <w:sz w:val="20"/>
          <w:szCs w:val="20"/>
          <w:lang w:eastAsia="ca-ES"/>
        </w:rPr>
        <w:t>situació d'acolliment familiar</w:t>
      </w:r>
      <w:r w:rsidRPr="0021429A">
        <w:rPr>
          <w:rFonts w:ascii="Century Gothic" w:eastAsia="Times New Roman" w:hAnsi="Century Gothic" w:cs="Helvetica"/>
          <w:sz w:val="20"/>
          <w:szCs w:val="20"/>
          <w:lang w:eastAsia="ca-ES"/>
        </w:rPr>
        <w:t>, se sumen </w:t>
      </w:r>
      <w:r w:rsidRPr="0021429A">
        <w:rPr>
          <w:rFonts w:ascii="Century Gothic" w:eastAsia="Times New Roman" w:hAnsi="Century Gothic" w:cs="Helvetica"/>
          <w:b/>
          <w:bCs/>
          <w:sz w:val="20"/>
          <w:szCs w:val="20"/>
          <w:lang w:eastAsia="ca-ES"/>
        </w:rPr>
        <w:t>10 punts</w:t>
      </w:r>
      <w:r w:rsidRPr="0021429A">
        <w:rPr>
          <w:rFonts w:ascii="Century Gothic" w:eastAsia="Times New Roman" w:hAnsi="Century Gothic" w:cs="Helvetica"/>
          <w:sz w:val="20"/>
          <w:szCs w:val="20"/>
          <w:lang w:eastAsia="ca-ES"/>
        </w:rPr>
        <w:t>.</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b/>
          <w:bCs/>
          <w:sz w:val="20"/>
          <w:szCs w:val="20"/>
          <w:lang w:eastAsia="ca-ES"/>
        </w:rPr>
        <w:t>Si algun membre de la família té una discapacitat</w:t>
      </w:r>
      <w:r w:rsidRPr="0021429A">
        <w:rPr>
          <w:rFonts w:ascii="Century Gothic" w:eastAsia="Times New Roman" w:hAnsi="Century Gothic" w:cs="Helvetica"/>
          <w:sz w:val="20"/>
          <w:szCs w:val="20"/>
          <w:lang w:eastAsia="ca-ES"/>
        </w:rPr>
        <w:t>, se sumen </w:t>
      </w:r>
      <w:r w:rsidRPr="0021429A">
        <w:rPr>
          <w:rFonts w:ascii="Century Gothic" w:eastAsia="Times New Roman" w:hAnsi="Century Gothic" w:cs="Helvetica"/>
          <w:b/>
          <w:bCs/>
          <w:sz w:val="20"/>
          <w:szCs w:val="20"/>
          <w:lang w:eastAsia="ca-ES"/>
        </w:rPr>
        <w:t>15 punts</w:t>
      </w:r>
      <w:r w:rsidRPr="0021429A">
        <w:rPr>
          <w:rFonts w:ascii="Century Gothic" w:eastAsia="Times New Roman" w:hAnsi="Century Gothic" w:cs="Helvetica"/>
          <w:sz w:val="20"/>
          <w:szCs w:val="20"/>
          <w:lang w:eastAsia="ca-ES"/>
        </w:rPr>
        <w:t>. Quan el jove mateix, el pare o la mare, o bé algun germà o germana té una discapacitat igual o superior al 33 %.</w:t>
      </w:r>
    </w:p>
    <w:p w:rsidR="0021429A" w:rsidRPr="0021429A" w:rsidRDefault="0021429A" w:rsidP="0021429A">
      <w:pPr>
        <w:numPr>
          <w:ilvl w:val="0"/>
          <w:numId w:val="2"/>
        </w:numPr>
        <w:shd w:val="clear" w:color="auto" w:fill="FFFFFF"/>
        <w:spacing w:before="100" w:beforeAutospacing="1" w:after="100" w:afterAutospacing="1" w:line="240" w:lineRule="auto"/>
        <w:ind w:left="495"/>
        <w:jc w:val="both"/>
        <w:rPr>
          <w:rFonts w:ascii="Century Gothic" w:eastAsia="Times New Roman" w:hAnsi="Century Gothic" w:cs="Helvetica"/>
          <w:sz w:val="20"/>
          <w:szCs w:val="20"/>
          <w:lang w:eastAsia="ca-ES"/>
        </w:rPr>
      </w:pPr>
      <w:r w:rsidRPr="0021429A">
        <w:rPr>
          <w:rFonts w:ascii="Century Gothic" w:eastAsia="Times New Roman" w:hAnsi="Century Gothic" w:cs="Helvetica"/>
          <w:sz w:val="20"/>
          <w:szCs w:val="20"/>
          <w:lang w:eastAsia="ca-ES"/>
        </w:rPr>
        <w:t>Se sumen </w:t>
      </w:r>
      <w:r w:rsidRPr="0021429A">
        <w:rPr>
          <w:rFonts w:ascii="Century Gothic" w:eastAsia="Times New Roman" w:hAnsi="Century Gothic" w:cs="Helvetica"/>
          <w:b/>
          <w:bCs/>
          <w:sz w:val="20"/>
          <w:szCs w:val="20"/>
          <w:lang w:eastAsia="ca-ES"/>
        </w:rPr>
        <w:t>10 punts</w:t>
      </w:r>
      <w:r w:rsidRPr="0021429A">
        <w:rPr>
          <w:rFonts w:ascii="Century Gothic" w:eastAsia="Times New Roman" w:hAnsi="Century Gothic" w:cs="Helvetica"/>
          <w:sz w:val="20"/>
          <w:szCs w:val="20"/>
          <w:lang w:eastAsia="ca-ES"/>
        </w:rPr>
        <w:t> si s'acredita la </w:t>
      </w:r>
      <w:r w:rsidRPr="0021429A">
        <w:rPr>
          <w:rFonts w:ascii="Century Gothic" w:eastAsia="Times New Roman" w:hAnsi="Century Gothic" w:cs="Helvetica"/>
          <w:b/>
          <w:bCs/>
          <w:sz w:val="20"/>
          <w:szCs w:val="20"/>
          <w:lang w:eastAsia="ca-ES"/>
        </w:rPr>
        <w:t>condició de víctima de violència de gènere o de terrorisme</w:t>
      </w:r>
      <w:r w:rsidRPr="0021429A">
        <w:rPr>
          <w:rFonts w:ascii="Century Gothic" w:eastAsia="Times New Roman" w:hAnsi="Century Gothic" w:cs="Helvetica"/>
          <w:sz w:val="20"/>
          <w:szCs w:val="20"/>
          <w:lang w:eastAsia="ca-ES"/>
        </w:rPr>
        <w:t>.</w:t>
      </w:r>
    </w:p>
    <w:p w:rsidR="00EA33B9" w:rsidRPr="0021429A" w:rsidRDefault="00EA33B9">
      <w:pPr>
        <w:rPr>
          <w:rFonts w:ascii="Century Gothic" w:hAnsi="Century Gothic"/>
          <w:sz w:val="20"/>
          <w:szCs w:val="20"/>
        </w:rPr>
      </w:pPr>
    </w:p>
    <w:sectPr w:rsidR="00EA33B9" w:rsidRPr="0021429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9A" w:rsidRDefault="0021429A" w:rsidP="0021429A">
      <w:pPr>
        <w:spacing w:after="0" w:line="240" w:lineRule="auto"/>
      </w:pPr>
      <w:r>
        <w:separator/>
      </w:r>
    </w:p>
  </w:endnote>
  <w:endnote w:type="continuationSeparator" w:id="0">
    <w:p w:rsidR="0021429A" w:rsidRDefault="0021429A" w:rsidP="0021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9A" w:rsidRDefault="0021429A" w:rsidP="0021429A">
      <w:pPr>
        <w:spacing w:after="0" w:line="240" w:lineRule="auto"/>
      </w:pPr>
      <w:r>
        <w:separator/>
      </w:r>
    </w:p>
  </w:footnote>
  <w:footnote w:type="continuationSeparator" w:id="0">
    <w:p w:rsidR="0021429A" w:rsidRDefault="0021429A" w:rsidP="00214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9A" w:rsidRDefault="0021429A">
    <w:pPr>
      <w:pStyle w:val="Encabezado"/>
    </w:pPr>
    <w:r>
      <w:rPr>
        <w:noProof/>
        <w:lang w:eastAsia="ca-ES"/>
      </w:rPr>
      <w:drawing>
        <wp:inline distT="0" distB="0" distL="0" distR="0" wp14:anchorId="3CFB63EC" wp14:editId="13352EA7">
          <wp:extent cx="4067033" cy="45383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69900" cy="454152"/>
                  </a:xfrm>
                  <a:prstGeom prst="rect">
                    <a:avLst/>
                  </a:prstGeom>
                </pic:spPr>
              </pic:pic>
            </a:graphicData>
          </a:graphic>
        </wp:inline>
      </w:drawing>
    </w:r>
  </w:p>
  <w:p w:rsidR="0021429A" w:rsidRDefault="00214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31EC"/>
    <w:multiLevelType w:val="multilevel"/>
    <w:tmpl w:val="CD64F9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AD7661"/>
    <w:multiLevelType w:val="multilevel"/>
    <w:tmpl w:val="7924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9A"/>
    <w:rsid w:val="0021429A"/>
    <w:rsid w:val="00EA33B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4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29A"/>
    <w:rPr>
      <w:rFonts w:ascii="Tahoma" w:hAnsi="Tahoma" w:cs="Tahoma"/>
      <w:sz w:val="16"/>
      <w:szCs w:val="16"/>
    </w:rPr>
  </w:style>
  <w:style w:type="paragraph" w:styleId="Encabezado">
    <w:name w:val="header"/>
    <w:basedOn w:val="Normal"/>
    <w:link w:val="EncabezadoCar"/>
    <w:uiPriority w:val="99"/>
    <w:unhideWhenUsed/>
    <w:rsid w:val="002142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29A"/>
  </w:style>
  <w:style w:type="paragraph" w:styleId="Piedepgina">
    <w:name w:val="footer"/>
    <w:basedOn w:val="Normal"/>
    <w:link w:val="PiedepginaCar"/>
    <w:uiPriority w:val="99"/>
    <w:unhideWhenUsed/>
    <w:rsid w:val="002142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4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29A"/>
    <w:rPr>
      <w:rFonts w:ascii="Tahoma" w:hAnsi="Tahoma" w:cs="Tahoma"/>
      <w:sz w:val="16"/>
      <w:szCs w:val="16"/>
    </w:rPr>
  </w:style>
  <w:style w:type="paragraph" w:styleId="Encabezado">
    <w:name w:val="header"/>
    <w:basedOn w:val="Normal"/>
    <w:link w:val="EncabezadoCar"/>
    <w:uiPriority w:val="99"/>
    <w:unhideWhenUsed/>
    <w:rsid w:val="002142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29A"/>
  </w:style>
  <w:style w:type="paragraph" w:styleId="Piedepgina">
    <w:name w:val="footer"/>
    <w:basedOn w:val="Normal"/>
    <w:link w:val="PiedepginaCar"/>
    <w:uiPriority w:val="99"/>
    <w:unhideWhenUsed/>
    <w:rsid w:val="002142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3510">
      <w:bodyDiv w:val="1"/>
      <w:marLeft w:val="0"/>
      <w:marRight w:val="0"/>
      <w:marTop w:val="0"/>
      <w:marBottom w:val="0"/>
      <w:divBdr>
        <w:top w:val="none" w:sz="0" w:space="0" w:color="auto"/>
        <w:left w:val="none" w:sz="0" w:space="0" w:color="auto"/>
        <w:bottom w:val="none" w:sz="0" w:space="0" w:color="auto"/>
        <w:right w:val="none" w:sz="0" w:space="0" w:color="auto"/>
      </w:divBdr>
      <w:divsChild>
        <w:div w:id="1615167355">
          <w:marLeft w:val="0"/>
          <w:marRight w:val="0"/>
          <w:marTop w:val="0"/>
          <w:marBottom w:val="0"/>
          <w:divBdr>
            <w:top w:val="none" w:sz="0" w:space="0" w:color="auto"/>
            <w:left w:val="none" w:sz="0" w:space="0" w:color="auto"/>
            <w:bottom w:val="none" w:sz="0" w:space="0" w:color="auto"/>
            <w:right w:val="none" w:sz="0" w:space="0" w:color="auto"/>
          </w:divBdr>
          <w:divsChild>
            <w:div w:id="1394351005">
              <w:marLeft w:val="-225"/>
              <w:marRight w:val="-225"/>
              <w:marTop w:val="0"/>
              <w:marBottom w:val="0"/>
              <w:divBdr>
                <w:top w:val="none" w:sz="0" w:space="0" w:color="auto"/>
                <w:left w:val="none" w:sz="0" w:space="0" w:color="auto"/>
                <w:bottom w:val="none" w:sz="0" w:space="0" w:color="auto"/>
                <w:right w:val="none" w:sz="0" w:space="0" w:color="auto"/>
              </w:divBdr>
              <w:divsChild>
                <w:div w:id="641035691">
                  <w:marLeft w:val="0"/>
                  <w:marRight w:val="0"/>
                  <w:marTop w:val="0"/>
                  <w:marBottom w:val="0"/>
                  <w:divBdr>
                    <w:top w:val="none" w:sz="0" w:space="0" w:color="auto"/>
                    <w:left w:val="none" w:sz="0" w:space="0" w:color="auto"/>
                    <w:bottom w:val="none" w:sz="0" w:space="0" w:color="auto"/>
                    <w:right w:val="none" w:sz="0" w:space="0" w:color="auto"/>
                  </w:divBdr>
                  <w:divsChild>
                    <w:div w:id="13853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5162">
          <w:marLeft w:val="0"/>
          <w:marRight w:val="0"/>
          <w:marTop w:val="0"/>
          <w:marBottom w:val="0"/>
          <w:divBdr>
            <w:top w:val="none" w:sz="0" w:space="0" w:color="auto"/>
            <w:left w:val="none" w:sz="0" w:space="0" w:color="auto"/>
            <w:bottom w:val="none" w:sz="0" w:space="0" w:color="auto"/>
            <w:right w:val="none" w:sz="0" w:space="0" w:color="auto"/>
          </w:divBdr>
          <w:divsChild>
            <w:div w:id="239560492">
              <w:marLeft w:val="0"/>
              <w:marRight w:val="0"/>
              <w:marTop w:val="0"/>
              <w:marBottom w:val="0"/>
              <w:divBdr>
                <w:top w:val="none" w:sz="0" w:space="0" w:color="auto"/>
                <w:left w:val="none" w:sz="0" w:space="0" w:color="auto"/>
                <w:bottom w:val="none" w:sz="0" w:space="0" w:color="auto"/>
                <w:right w:val="none" w:sz="0" w:space="0" w:color="auto"/>
              </w:divBdr>
              <w:divsChild>
                <w:div w:id="9801097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7694667">
          <w:marLeft w:val="0"/>
          <w:marRight w:val="0"/>
          <w:marTop w:val="0"/>
          <w:marBottom w:val="0"/>
          <w:divBdr>
            <w:top w:val="none" w:sz="0" w:space="0" w:color="auto"/>
            <w:left w:val="none" w:sz="0" w:space="0" w:color="auto"/>
            <w:bottom w:val="none" w:sz="0" w:space="0" w:color="auto"/>
            <w:right w:val="none" w:sz="0" w:space="0" w:color="auto"/>
          </w:divBdr>
          <w:divsChild>
            <w:div w:id="230117650">
              <w:marLeft w:val="-225"/>
              <w:marRight w:val="-225"/>
              <w:marTop w:val="0"/>
              <w:marBottom w:val="0"/>
              <w:divBdr>
                <w:top w:val="none" w:sz="0" w:space="0" w:color="auto"/>
                <w:left w:val="none" w:sz="0" w:space="0" w:color="auto"/>
                <w:bottom w:val="none" w:sz="0" w:space="0" w:color="auto"/>
                <w:right w:val="none" w:sz="0" w:space="0" w:color="auto"/>
              </w:divBdr>
              <w:divsChild>
                <w:div w:id="1412313812">
                  <w:marLeft w:val="0"/>
                  <w:marRight w:val="0"/>
                  <w:marTop w:val="0"/>
                  <w:marBottom w:val="0"/>
                  <w:divBdr>
                    <w:top w:val="none" w:sz="0" w:space="0" w:color="auto"/>
                    <w:left w:val="none" w:sz="0" w:space="0" w:color="auto"/>
                    <w:bottom w:val="none" w:sz="0" w:space="0" w:color="auto"/>
                    <w:right w:val="none" w:sz="0" w:space="0" w:color="auto"/>
                  </w:divBdr>
                  <w:divsChild>
                    <w:div w:id="586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480</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dc:creator>
  <cp:lastModifiedBy>Gestio</cp:lastModifiedBy>
  <cp:revision>1</cp:revision>
  <dcterms:created xsi:type="dcterms:W3CDTF">2022-04-06T07:25:00Z</dcterms:created>
  <dcterms:modified xsi:type="dcterms:W3CDTF">2022-04-06T07:35:00Z</dcterms:modified>
</cp:coreProperties>
</file>