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E021B" w14:textId="60938277" w:rsidR="006C1766" w:rsidRPr="006C1766" w:rsidRDefault="006C1766" w:rsidP="006C17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a-ES"/>
        </w:rPr>
      </w:pPr>
      <w:r w:rsidRPr="006C1766">
        <w:rPr>
          <w:rFonts w:eastAsia="Times New Roman" w:cs="Times New Roman"/>
          <w:b/>
          <w:bCs/>
          <w:sz w:val="24"/>
          <w:szCs w:val="24"/>
          <w:lang w:eastAsia="ca-ES"/>
        </w:rPr>
        <w:t>NORMATIVA D'ÚS DEL SERVEI DE TRANSPORT ESCOLAR</w:t>
      </w:r>
      <w:r w:rsidRPr="006C1766">
        <w:rPr>
          <w:rFonts w:eastAsia="Times New Roman" w:cs="Times New Roman"/>
          <w:b/>
          <w:bCs/>
          <w:sz w:val="24"/>
          <w:szCs w:val="24"/>
          <w:lang w:eastAsia="ca-ES"/>
        </w:rPr>
        <w:t xml:space="preserve"> Curs 24-25</w:t>
      </w:r>
    </w:p>
    <w:p w14:paraId="4C638965" w14:textId="77777777" w:rsidR="006C1766" w:rsidRPr="006C1766" w:rsidRDefault="006C1766" w:rsidP="006C17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a-ES"/>
        </w:rPr>
      </w:pPr>
      <w:r w:rsidRPr="006C1766">
        <w:rPr>
          <w:rFonts w:eastAsia="Times New Roman" w:cs="Times New Roman"/>
          <w:sz w:val="24"/>
          <w:szCs w:val="24"/>
          <w:lang w:eastAsia="ca-ES"/>
        </w:rPr>
        <w:t>1.      Els/les usuaris/àries del transport escolar hauran de pujar i baixar a la parada assignada. Si es vol canviar de parada, s'haurà de sol·licitar.</w:t>
      </w:r>
    </w:p>
    <w:p w14:paraId="219ABB63" w14:textId="77777777" w:rsidR="006C1766" w:rsidRPr="006C1766" w:rsidRDefault="006C1766" w:rsidP="006C17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a-ES"/>
        </w:rPr>
      </w:pPr>
      <w:r w:rsidRPr="006C1766">
        <w:rPr>
          <w:rFonts w:eastAsia="Times New Roman" w:cs="Times New Roman"/>
          <w:sz w:val="24"/>
          <w:szCs w:val="24"/>
          <w:lang w:eastAsia="ca-ES"/>
        </w:rPr>
        <w:t xml:space="preserve">2.      S'ha de respectar puntualment l'horari de sortida dels autobusos, tant a l'anada com a la tornada (cal estar 5 minuts abans de l'hora prevista). En cas </w:t>
      </w:r>
      <w:proofErr w:type="spellStart"/>
      <w:r w:rsidRPr="006C1766">
        <w:rPr>
          <w:rFonts w:eastAsia="Times New Roman" w:cs="Times New Roman"/>
          <w:sz w:val="24"/>
          <w:szCs w:val="24"/>
          <w:lang w:eastAsia="ca-ES"/>
        </w:rPr>
        <w:t>d'impuntualitat</w:t>
      </w:r>
      <w:proofErr w:type="spellEnd"/>
      <w:r w:rsidRPr="006C1766">
        <w:rPr>
          <w:rFonts w:eastAsia="Times New Roman" w:cs="Times New Roman"/>
          <w:sz w:val="24"/>
          <w:szCs w:val="24"/>
          <w:lang w:eastAsia="ca-ES"/>
        </w:rPr>
        <w:t>, s'entén sempre que l'alumne renúncia a beneficiar-se durant aquell viatge del servei de transport escolar.</w:t>
      </w:r>
    </w:p>
    <w:p w14:paraId="48139AAF" w14:textId="77777777" w:rsidR="006C1766" w:rsidRPr="006C1766" w:rsidRDefault="006C1766" w:rsidP="006C17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a-ES"/>
        </w:rPr>
      </w:pPr>
      <w:r w:rsidRPr="006C1766">
        <w:rPr>
          <w:rFonts w:eastAsia="Times New Roman" w:cs="Times New Roman"/>
          <w:sz w:val="24"/>
          <w:szCs w:val="24"/>
          <w:lang w:eastAsia="ca-ES"/>
        </w:rPr>
        <w:t>3.      Abans de pujar a l'autobús, el/la monitor/a comprovarà que l'alumnat dipositi les seves bosses en el maleter lateral de l'autobús. Es podran pujar els portàtils o altres objectes de valor (amb poc volum) que es dipositaran en els compartiments superiors de l'autobús.</w:t>
      </w:r>
    </w:p>
    <w:p w14:paraId="3321FD9F" w14:textId="77777777" w:rsidR="006C1766" w:rsidRPr="006C1766" w:rsidRDefault="006C1766" w:rsidP="006C17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a-ES"/>
        </w:rPr>
      </w:pPr>
      <w:r w:rsidRPr="006C1766">
        <w:rPr>
          <w:rFonts w:eastAsia="Times New Roman" w:cs="Times New Roman"/>
          <w:sz w:val="24"/>
          <w:szCs w:val="24"/>
          <w:lang w:eastAsia="ca-ES"/>
        </w:rPr>
        <w:t>4.      Cal pujar i baixar de l'autobús en ordre i seguint les indicacions del/la monitor/a, qui passarà llista diàriament.</w:t>
      </w:r>
    </w:p>
    <w:p w14:paraId="3A0B92A1" w14:textId="77777777" w:rsidR="006C1766" w:rsidRPr="006C1766" w:rsidRDefault="006C1766" w:rsidP="006C17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a-ES"/>
        </w:rPr>
      </w:pPr>
      <w:r w:rsidRPr="006C1766">
        <w:rPr>
          <w:rFonts w:eastAsia="Times New Roman" w:cs="Times New Roman"/>
          <w:sz w:val="24"/>
          <w:szCs w:val="24"/>
          <w:lang w:eastAsia="ca-ES"/>
        </w:rPr>
        <w:t>5.      Abans d'iniciar el trajecte i durant el recorregut, cada alumne seurà al seu seient. Queda prohibit aixecar-se amb l'autobús en marxa. És obligatori posar-se el cinturó de seguretat durant tot el trajecte.</w:t>
      </w:r>
    </w:p>
    <w:p w14:paraId="69050A78" w14:textId="77777777" w:rsidR="006C1766" w:rsidRPr="006C1766" w:rsidRDefault="006C1766" w:rsidP="006C17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a-ES"/>
        </w:rPr>
      </w:pPr>
      <w:r w:rsidRPr="006C1766">
        <w:rPr>
          <w:rFonts w:eastAsia="Times New Roman" w:cs="Times New Roman"/>
          <w:sz w:val="24"/>
          <w:szCs w:val="24"/>
          <w:lang w:eastAsia="ca-ES"/>
        </w:rPr>
        <w:t>6.      En cas que l'alumne/a, de forma sistemàtica o esporàdica, no tingui la intenció d'utilitzar el servei de transport en dies concrets, es comunicarà al/la monitor/a.</w:t>
      </w:r>
    </w:p>
    <w:p w14:paraId="016F9196" w14:textId="77777777" w:rsidR="006C1766" w:rsidRPr="006C1766" w:rsidRDefault="006C1766" w:rsidP="006C17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a-ES"/>
        </w:rPr>
      </w:pPr>
      <w:r w:rsidRPr="006C1766">
        <w:rPr>
          <w:rFonts w:eastAsia="Times New Roman" w:cs="Times New Roman"/>
          <w:sz w:val="24"/>
          <w:szCs w:val="24"/>
          <w:lang w:eastAsia="ca-ES"/>
        </w:rPr>
        <w:t>7.      L'absència continuada d'un/a alumne/a, sense causa justificada, podrà suposar les pèrdua del dret d'ús del servei de transport escolar.</w:t>
      </w:r>
    </w:p>
    <w:p w14:paraId="3030E1DD" w14:textId="77777777" w:rsidR="006C1766" w:rsidRPr="006C1766" w:rsidRDefault="006C1766" w:rsidP="006C17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a-ES"/>
        </w:rPr>
      </w:pPr>
      <w:r w:rsidRPr="006C1766">
        <w:rPr>
          <w:rFonts w:eastAsia="Times New Roman" w:cs="Times New Roman"/>
          <w:sz w:val="24"/>
          <w:szCs w:val="24"/>
          <w:lang w:eastAsia="ca-ES"/>
        </w:rPr>
        <w:t>8.      Els/les alumnes han de respectar el vehicle. En cas de desperfectes, se'n farà càrrec la família. No es permetrà menjar, ni beure, ni fumar dins l'autobús.</w:t>
      </w:r>
    </w:p>
    <w:p w14:paraId="5E55A1DE" w14:textId="77777777" w:rsidR="006C1766" w:rsidRPr="006C1766" w:rsidRDefault="006C1766" w:rsidP="006C17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a-ES"/>
        </w:rPr>
      </w:pPr>
      <w:r w:rsidRPr="006C1766">
        <w:rPr>
          <w:rFonts w:eastAsia="Times New Roman" w:cs="Times New Roman"/>
          <w:sz w:val="24"/>
          <w:szCs w:val="24"/>
          <w:lang w:eastAsia="ca-ES"/>
        </w:rPr>
        <w:t>9.      Els/les alumnes hauran de respectar les indicacions del/la monitor/a com a responsable de la seguretat del trajecte i del comportament i actitud cívica de l'alumnat.</w:t>
      </w:r>
    </w:p>
    <w:p w14:paraId="162FAB0A" w14:textId="77777777" w:rsidR="006C1766" w:rsidRPr="006C1766" w:rsidRDefault="006C1766" w:rsidP="006C17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a-ES"/>
        </w:rPr>
      </w:pPr>
      <w:r w:rsidRPr="006C1766">
        <w:rPr>
          <w:rFonts w:eastAsia="Times New Roman" w:cs="Times New Roman"/>
          <w:sz w:val="24"/>
          <w:szCs w:val="24"/>
          <w:lang w:eastAsia="ca-ES"/>
        </w:rPr>
        <w:t>10.  Abans de baixar de l'autobús, es vigilarà de no deixar-hi cap tipus d'objecte. En el cas de pèrdua d'algun objecte ni el Consell Comarcal ni l'empresa de transport se'n farà responsable.</w:t>
      </w:r>
    </w:p>
    <w:p w14:paraId="3DC15149" w14:textId="77777777" w:rsidR="006C1766" w:rsidRPr="006C1766" w:rsidRDefault="006C1766" w:rsidP="006C17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a-ES"/>
        </w:rPr>
      </w:pPr>
      <w:r w:rsidRPr="006C1766">
        <w:rPr>
          <w:rFonts w:eastAsia="Times New Roman" w:cs="Times New Roman"/>
          <w:sz w:val="24"/>
          <w:szCs w:val="24"/>
          <w:lang w:eastAsia="ca-ES"/>
        </w:rPr>
        <w:t xml:space="preserve">11.  En cas que no s'autoritzi a l'alumne/a </w:t>
      </w:r>
      <w:proofErr w:type="spellStart"/>
      <w:r w:rsidRPr="006C1766">
        <w:rPr>
          <w:rFonts w:eastAsia="Times New Roman" w:cs="Times New Roman"/>
          <w:sz w:val="24"/>
          <w:szCs w:val="24"/>
          <w:lang w:eastAsia="ca-ES"/>
        </w:rPr>
        <w:t>a</w:t>
      </w:r>
      <w:proofErr w:type="spellEnd"/>
      <w:r w:rsidRPr="006C1766">
        <w:rPr>
          <w:rFonts w:eastAsia="Times New Roman" w:cs="Times New Roman"/>
          <w:sz w:val="24"/>
          <w:szCs w:val="24"/>
          <w:lang w:eastAsia="ca-ES"/>
        </w:rPr>
        <w:t xml:space="preserve"> tornar sol/a </w:t>
      </w:r>
      <w:proofErr w:type="spellStart"/>
      <w:r w:rsidRPr="006C1766">
        <w:rPr>
          <w:rFonts w:eastAsia="Times New Roman" w:cs="Times New Roman"/>
          <w:sz w:val="24"/>
          <w:szCs w:val="24"/>
          <w:lang w:eastAsia="ca-ES"/>
        </w:rPr>
        <w:t>a</w:t>
      </w:r>
      <w:proofErr w:type="spellEnd"/>
      <w:r w:rsidRPr="006C1766">
        <w:rPr>
          <w:rFonts w:eastAsia="Times New Roman" w:cs="Times New Roman"/>
          <w:sz w:val="24"/>
          <w:szCs w:val="24"/>
          <w:lang w:eastAsia="ca-ES"/>
        </w:rPr>
        <w:t xml:space="preserve"> casa, s'haurà de designar un/a responsable de la seva recollida. En cas que l'alumne/a no sigui recollit/da, passat un temps d'espera prudencial, es continuarà la ruta i en finalitzar el trajecte, es posarà a disposició dels cossos i forces de seguretat (Decret 161/1996, art. 6).</w:t>
      </w:r>
    </w:p>
    <w:p w14:paraId="3C582F44" w14:textId="77777777" w:rsidR="006C1766" w:rsidRPr="006C1766" w:rsidRDefault="006C1766" w:rsidP="006C17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a-ES"/>
        </w:rPr>
      </w:pPr>
      <w:r w:rsidRPr="006C1766">
        <w:rPr>
          <w:rFonts w:eastAsia="Times New Roman" w:cs="Times New Roman"/>
          <w:sz w:val="24"/>
          <w:szCs w:val="24"/>
          <w:lang w:eastAsia="ca-ES"/>
        </w:rPr>
        <w:t>12.  En cas que es produeixin incidents durant el trajecte i que l'alumne/a tingui un comportament inadequat, el/la monitor/a ho comunicarà a la direcció del centre i al Consell Comarcal per tal que s'adoptin les mesures oportunes, d'acord amb el Reglament del servei de transport escolar a la comarca del Baix Ebre.</w:t>
      </w:r>
    </w:p>
    <w:p w14:paraId="1E1A2410" w14:textId="77777777" w:rsidR="006C1766" w:rsidRPr="006C1766" w:rsidRDefault="006C1766" w:rsidP="006C176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ca-ES"/>
        </w:rPr>
      </w:pPr>
      <w:r w:rsidRPr="006C1766">
        <w:rPr>
          <w:rFonts w:eastAsia="Times New Roman" w:cs="Times New Roman"/>
          <w:b/>
          <w:bCs/>
          <w:sz w:val="24"/>
          <w:szCs w:val="24"/>
          <w:lang w:eastAsia="ca-ES"/>
        </w:rPr>
        <w:lastRenderedPageBreak/>
        <w:t xml:space="preserve">Normativa aplicable </w:t>
      </w:r>
    </w:p>
    <w:p w14:paraId="6BE643EA" w14:textId="77777777" w:rsidR="006C1766" w:rsidRPr="006C1766" w:rsidRDefault="006C1766" w:rsidP="006C176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eastAsia="Times New Roman" w:cs="Times New Roman"/>
          <w:sz w:val="24"/>
          <w:szCs w:val="24"/>
          <w:lang w:eastAsia="ca-ES"/>
        </w:rPr>
      </w:pPr>
      <w:hyperlink r:id="rId5" w:tgtFrame="_blank" w:history="1"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LEY 38/2003, de 17 de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noviembre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, General de Subvenciones.</w:t>
        </w:r>
      </w:hyperlink>
      <w:r w:rsidRPr="006C1766">
        <w:rPr>
          <w:rFonts w:eastAsia="Times New Roman" w:cs="Times New Roman"/>
          <w:sz w:val="24"/>
          <w:szCs w:val="24"/>
          <w:lang w:eastAsia="ca-ES"/>
        </w:rPr>
        <w:t xml:space="preserve"> (Art. 22, Art. 28, Art. 9.2) </w:t>
      </w:r>
    </w:p>
    <w:p w14:paraId="7BC85A7F" w14:textId="77777777" w:rsidR="006C1766" w:rsidRPr="006C1766" w:rsidRDefault="006C1766" w:rsidP="006C176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eastAsia="Times New Roman" w:cs="Times New Roman"/>
          <w:sz w:val="24"/>
          <w:szCs w:val="24"/>
          <w:lang w:eastAsia="ca-ES"/>
        </w:rPr>
      </w:pPr>
      <w:hyperlink r:id="rId6" w:tgtFrame="_blank" w:history="1"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Ley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38/2003, de 17 de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noviembre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, General de Subvenciones</w:t>
        </w:r>
      </w:hyperlink>
      <w:r w:rsidRPr="006C1766">
        <w:rPr>
          <w:rFonts w:eastAsia="Times New Roman" w:cs="Times New Roman"/>
          <w:sz w:val="24"/>
          <w:szCs w:val="24"/>
          <w:lang w:eastAsia="ca-ES"/>
        </w:rPr>
        <w:t xml:space="preserve"> (Art. 13) </w:t>
      </w:r>
    </w:p>
    <w:p w14:paraId="5044A8F4" w14:textId="77777777" w:rsidR="006C1766" w:rsidRPr="006C1766" w:rsidRDefault="006C1766" w:rsidP="006C176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eastAsia="Times New Roman" w:cs="Times New Roman"/>
          <w:sz w:val="24"/>
          <w:szCs w:val="24"/>
          <w:lang w:eastAsia="ca-ES"/>
        </w:rPr>
      </w:pPr>
      <w:hyperlink r:id="rId7" w:tgtFrame="_blank" w:history="1"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Ley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7/1985, de 2 de abril, reguladora de las Bases del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Régimen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Local.</w:t>
        </w:r>
      </w:hyperlink>
      <w:r w:rsidRPr="006C1766">
        <w:rPr>
          <w:rFonts w:eastAsia="Times New Roman" w:cs="Times New Roman"/>
          <w:sz w:val="24"/>
          <w:szCs w:val="24"/>
          <w:lang w:eastAsia="ca-ES"/>
        </w:rPr>
        <w:t xml:space="preserve"> (Art. 25, Art. 72, Arts. 21-22) </w:t>
      </w:r>
    </w:p>
    <w:p w14:paraId="75128B5A" w14:textId="77777777" w:rsidR="006C1766" w:rsidRPr="006C1766" w:rsidRDefault="006C1766" w:rsidP="006C176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eastAsia="Times New Roman" w:cs="Times New Roman"/>
          <w:sz w:val="24"/>
          <w:szCs w:val="24"/>
          <w:lang w:eastAsia="ca-ES"/>
        </w:rPr>
      </w:pPr>
      <w:hyperlink r:id="rId8" w:tgtFrame="_blank" w:history="1"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Real Decreto 2568/1986, de 28 de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noviembre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, por el que se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aprueba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el Reglamento de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Organización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,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Funcionamiento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y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Régimen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Jurídico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de las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Entidades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Locales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.</w:t>
        </w:r>
      </w:hyperlink>
      <w:r w:rsidRPr="006C1766">
        <w:rPr>
          <w:rFonts w:eastAsia="Times New Roman" w:cs="Times New Roman"/>
          <w:sz w:val="24"/>
          <w:szCs w:val="24"/>
          <w:lang w:eastAsia="ca-ES"/>
        </w:rPr>
        <w:t xml:space="preserve"> (Art. 232) </w:t>
      </w:r>
    </w:p>
    <w:p w14:paraId="6378FF6B" w14:textId="77777777" w:rsidR="006C1766" w:rsidRPr="006C1766" w:rsidRDefault="006C1766" w:rsidP="006C176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eastAsia="Times New Roman" w:cs="Times New Roman"/>
          <w:sz w:val="24"/>
          <w:szCs w:val="24"/>
          <w:lang w:eastAsia="ca-ES"/>
        </w:rPr>
      </w:pPr>
      <w:hyperlink r:id="rId9" w:tgtFrame="_blank" w:history="1"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Real Decreto 887/2006, de 21 de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julio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, por el que se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aprueba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el Reglamento de la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Ley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38/2003, de 17 de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noviembre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, General de Subvenciones.</w:t>
        </w:r>
      </w:hyperlink>
      <w:r w:rsidRPr="006C1766">
        <w:rPr>
          <w:rFonts w:eastAsia="Times New Roman" w:cs="Times New Roman"/>
          <w:sz w:val="24"/>
          <w:szCs w:val="24"/>
          <w:lang w:eastAsia="ca-ES"/>
        </w:rPr>
        <w:t xml:space="preserve"> (Art. 55, Arts. 65-67) </w:t>
      </w:r>
    </w:p>
    <w:p w14:paraId="33EB924D" w14:textId="77777777" w:rsidR="006C1766" w:rsidRPr="006C1766" w:rsidRDefault="006C1766" w:rsidP="006C176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eastAsia="Times New Roman" w:cs="Times New Roman"/>
          <w:sz w:val="24"/>
          <w:szCs w:val="24"/>
          <w:lang w:eastAsia="ca-ES"/>
        </w:rPr>
      </w:pPr>
      <w:hyperlink r:id="rId10" w:tgtFrame="_blank" w:history="1"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Decreto de 17 de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junio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de 1955 por el que se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aprueba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el Reglamento de Servicios de las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Corporaciones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locales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.</w:t>
        </w:r>
      </w:hyperlink>
      <w:r w:rsidRPr="006C1766">
        <w:rPr>
          <w:rFonts w:eastAsia="Times New Roman" w:cs="Times New Roman"/>
          <w:sz w:val="24"/>
          <w:szCs w:val="24"/>
          <w:lang w:eastAsia="ca-ES"/>
        </w:rPr>
        <w:t xml:space="preserve"> (Tit. </w:t>
      </w:r>
      <w:proofErr w:type="spellStart"/>
      <w:r w:rsidRPr="006C1766">
        <w:rPr>
          <w:rFonts w:eastAsia="Times New Roman" w:cs="Times New Roman"/>
          <w:sz w:val="24"/>
          <w:szCs w:val="24"/>
          <w:lang w:eastAsia="ca-ES"/>
        </w:rPr>
        <w:t>Segundo</w:t>
      </w:r>
      <w:proofErr w:type="spellEnd"/>
      <w:r w:rsidRPr="006C1766">
        <w:rPr>
          <w:rFonts w:eastAsia="Times New Roman" w:cs="Times New Roman"/>
          <w:sz w:val="24"/>
          <w:szCs w:val="24"/>
          <w:lang w:eastAsia="ca-ES"/>
        </w:rPr>
        <w:t xml:space="preserve">) </w:t>
      </w:r>
    </w:p>
    <w:p w14:paraId="6F58530F" w14:textId="77777777" w:rsidR="006C1766" w:rsidRPr="006C1766" w:rsidRDefault="006C1766" w:rsidP="006C176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eastAsia="Times New Roman" w:cs="Times New Roman"/>
          <w:sz w:val="24"/>
          <w:szCs w:val="24"/>
          <w:lang w:eastAsia="ca-ES"/>
        </w:rPr>
      </w:pPr>
      <w:hyperlink r:id="rId11" w:tgtFrame="_blank" w:history="1"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ACORD GOV</w:t>
        </w:r>
      </w:hyperlink>
      <w:r w:rsidRPr="006C1766">
        <w:rPr>
          <w:rFonts w:eastAsia="Times New Roman" w:cs="Times New Roman"/>
          <w:sz w:val="24"/>
          <w:szCs w:val="24"/>
          <w:lang w:eastAsia="ca-ES"/>
        </w:rPr>
        <w:t xml:space="preserve"> (ACORD GOV/80/2023) </w:t>
      </w:r>
    </w:p>
    <w:p w14:paraId="2A776468" w14:textId="77777777" w:rsidR="006C1766" w:rsidRPr="006C1766" w:rsidRDefault="006C1766" w:rsidP="006C176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eastAsia="Times New Roman" w:cs="Times New Roman"/>
          <w:sz w:val="24"/>
          <w:szCs w:val="24"/>
          <w:lang w:eastAsia="ca-ES"/>
        </w:rPr>
      </w:pPr>
      <w:hyperlink r:id="rId12" w:tgtFrame="_blank" w:history="1"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Resolución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de 10 de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diciembre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de 2015, de la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Intervención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General de la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Administración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del Estado, por la que se regula el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proceso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de registro y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publicación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de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convocatorias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de subvenciones y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ayudas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en el Sistema Nacional de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Publicidad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de Subvenciones.</w:t>
        </w:r>
      </w:hyperlink>
      <w:r w:rsidRPr="006C1766">
        <w:rPr>
          <w:rFonts w:eastAsia="Times New Roman" w:cs="Times New Roman"/>
          <w:sz w:val="24"/>
          <w:szCs w:val="24"/>
          <w:lang w:eastAsia="ca-ES"/>
        </w:rPr>
        <w:t xml:space="preserve"> (Norma completa) </w:t>
      </w:r>
    </w:p>
    <w:p w14:paraId="4153AA4B" w14:textId="77777777" w:rsidR="006C1766" w:rsidRPr="006C1766" w:rsidRDefault="006C1766" w:rsidP="006C176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eastAsia="Times New Roman" w:cs="Times New Roman"/>
          <w:sz w:val="24"/>
          <w:szCs w:val="24"/>
          <w:lang w:eastAsia="ca-ES"/>
        </w:rPr>
      </w:pPr>
      <w:hyperlink r:id="rId13" w:tgtFrame="_blank" w:history="1"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Resolución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de 9 de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diciembre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de 2015, de la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Intervención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General de la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Administración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del Estado, por la que se regula el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contenido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y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periodicidad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de la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información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a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suministrar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a la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nueva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Base de </w:t>
        </w:r>
        <w:proofErr w:type="spellStart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>Datos</w:t>
        </w:r>
        <w:proofErr w:type="spellEnd"/>
        <w:r w:rsidRPr="006C1766">
          <w:rPr>
            <w:rFonts w:eastAsia="Times New Roman" w:cs="Times New Roman"/>
            <w:color w:val="0000FF"/>
            <w:sz w:val="24"/>
            <w:szCs w:val="24"/>
            <w:u w:val="single"/>
            <w:lang w:eastAsia="ca-ES"/>
          </w:rPr>
          <w:t xml:space="preserve"> Nacional de Subvenciones.</w:t>
        </w:r>
      </w:hyperlink>
      <w:r w:rsidRPr="006C1766">
        <w:rPr>
          <w:rFonts w:eastAsia="Times New Roman" w:cs="Times New Roman"/>
          <w:sz w:val="24"/>
          <w:szCs w:val="24"/>
          <w:lang w:eastAsia="ca-ES"/>
        </w:rPr>
        <w:t xml:space="preserve"> (Norma completa) </w:t>
      </w:r>
    </w:p>
    <w:p w14:paraId="151F5C34" w14:textId="55E0B197" w:rsidR="006C1766" w:rsidRPr="006C1766" w:rsidRDefault="006C1766" w:rsidP="006C1766">
      <w:pPr>
        <w:rPr>
          <w:sz w:val="24"/>
          <w:szCs w:val="24"/>
        </w:rPr>
      </w:pPr>
    </w:p>
    <w:sectPr w:rsidR="006C1766" w:rsidRPr="006C17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1A08"/>
    <w:multiLevelType w:val="multilevel"/>
    <w:tmpl w:val="D69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66"/>
    <w:rsid w:val="006C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DA4D"/>
  <w15:chartTrackingRefBased/>
  <w15:docId w15:val="{3E257D25-9C3B-4D6A-8DCD-30CBF915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C17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C1766"/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6C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6C176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C17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7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legislacion/" TargetMode="External"/><Relationship Id="rId13" Type="http://schemas.openxmlformats.org/officeDocument/2006/relationships/hyperlink" Target="https://www.boe.es/legislac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e.es/legislacion/" TargetMode="External"/><Relationship Id="rId12" Type="http://schemas.openxmlformats.org/officeDocument/2006/relationships/hyperlink" Target="https://www.boe.es/legislac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e.es/legislacion/" TargetMode="External"/><Relationship Id="rId11" Type="http://schemas.openxmlformats.org/officeDocument/2006/relationships/hyperlink" Target="https://dogc.gencat.cat/ca/document-del-dogc/?documentId=956963" TargetMode="External"/><Relationship Id="rId5" Type="http://schemas.openxmlformats.org/officeDocument/2006/relationships/hyperlink" Target="https://www.boe.es/legislacion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oe.es/legislac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e.es/legislac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de Pedro Gómez</dc:creator>
  <cp:keywords/>
  <dc:description/>
  <cp:lastModifiedBy>Francisco de Pedro Gómez</cp:lastModifiedBy>
  <cp:revision>1</cp:revision>
  <dcterms:created xsi:type="dcterms:W3CDTF">2024-07-10T08:18:00Z</dcterms:created>
  <dcterms:modified xsi:type="dcterms:W3CDTF">2024-07-10T08:19:00Z</dcterms:modified>
</cp:coreProperties>
</file>