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CALENDARI ASSESSORAMENT- RECONEIXEMENT 2020-21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Convocatòria setembre 2021</w:t>
      </w:r>
    </w:p>
    <w:tbl>
      <w:tblPr>
        <w:tblStyle w:val="Table1"/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06"/>
        <w:gridCol w:w="5425"/>
      </w:tblGrid>
      <w:tr>
        <w:trPr/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SERVEI D’ASSESSORAMENT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20"/>
              <w:ind w:left="720" w:right="0" w:hanging="360"/>
              <w:jc w:val="both"/>
              <w:rPr>
                <w:rFonts w:ascii="Candara" w:hAnsi="Candara" w:eastAsia="Candara" w:cs="Candar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SOL.LICITUD AL SERVEI D’ASSESSORAMENT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120"/>
              <w:ind w:left="720" w:right="0" w:hanging="360"/>
              <w:jc w:val="center"/>
              <w:rPr>
                <w:rFonts w:ascii="Candara" w:hAnsi="Candara" w:eastAsia="Candara" w:cs="Candar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PROCEDIMENT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Presentació de la  sol.licitud al servei: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>De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l 6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al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17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 de setembre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Llista provisional d’admesos i exclosos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 xml:space="preserve">del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2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0 al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3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0 de setembre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Candara" w:cs="Candara" w:ascii="Candara" w:hAnsi="Candara"/>
                <w:b/>
                <w:sz w:val="24"/>
                <w:szCs w:val="24"/>
              </w:rPr>
              <w:t>Reclamacions: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 xml:space="preserve">Del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4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 al 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6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 d’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octubre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Llista definitiva de sol.licituds admeses: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>7</w:t>
            </w:r>
            <w:r>
              <w:rPr>
                <w:rFonts w:eastAsia="Candara" w:cs="Candara" w:ascii="Candara" w:hAnsi="Candara"/>
                <w:sz w:val="24"/>
                <w:szCs w:val="24"/>
              </w:rPr>
              <w:t xml:space="preserve"> d’</w:t>
            </w:r>
            <w:r>
              <w:rPr>
                <w:rFonts w:eastAsia="Candara" w:cs="Candara" w:ascii="Candara" w:hAnsi="Candara"/>
                <w:sz w:val="24"/>
                <w:szCs w:val="24"/>
              </w:rPr>
              <w:t>octubre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left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FULL DE SOL.LICITUD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0"/>
              <w:ind w:left="1080" w:right="0" w:hanging="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eastAsia="Candara" w:cs="Candara" w:ascii="inherit" w:hAnsi="inheri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web ins pere borrell / servei assessorament i reconeixement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120"/>
              <w:ind w:left="1080" w:right="0" w:hanging="0"/>
              <w:jc w:val="left"/>
              <w:rPr>
                <w:rFonts w:ascii="Candara" w:hAnsi="Candara" w:eastAsia="Candara" w:cs="Candar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PRESENTACIÓ DE LA SOL.LICITUD</w:t>
            </w:r>
          </w:p>
          <w:p>
            <w:pPr>
              <w:pStyle w:val="Normal1"/>
              <w:widowControl w:val="false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>Telematicament</w:t>
            </w:r>
          </w:p>
          <w:p>
            <w:pPr>
              <w:pStyle w:val="Normal1"/>
              <w:widowControl w:val="false"/>
              <w:jc w:val="left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CONSULTA DE RESULTATS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0"/>
              <w:ind w:left="1080" w:right="0" w:hanging="0"/>
              <w:jc w:val="left"/>
              <w:rPr>
                <w:rFonts w:ascii="Candara" w:hAnsi="Candara" w:eastAsia="Candara" w:cs="Candar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inherit" w:hAnsi="inheri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444444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web ins pere borrell / servei assessorament i reconeixement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20"/>
              <w:ind w:left="720" w:right="0" w:hanging="360"/>
              <w:jc w:val="left"/>
              <w:rPr>
                <w:rFonts w:ascii="Candara" w:hAnsi="Candara" w:eastAsia="Candara" w:cs="Candar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SESSIÓ INFORMATIVA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2.MODALITAT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>13  d’octubre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sz w:val="24"/>
                <w:szCs w:val="24"/>
              </w:rPr>
            </w:pPr>
            <w:r>
              <w:rPr>
                <w:rFonts w:eastAsia="Candara" w:cs="Candara" w:ascii="Candara" w:hAnsi="Candara"/>
                <w:sz w:val="24"/>
                <w:szCs w:val="24"/>
              </w:rPr>
              <w:t>Telemàtica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Candara" w:hAnsi="Candara" w:eastAsia="Candara" w:cs="Candar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INSCRIPCIÓ AL SERVEI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20"/>
              <w:ind w:left="720" w:right="0" w:hanging="0"/>
              <w:jc w:val="left"/>
              <w:rPr>
                <w:rFonts w:ascii="Candara" w:hAnsi="Candara" w:eastAsia="Candara" w:cs="Candar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3.PROCEDIMENT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20"/>
              <w:ind w:left="720" w:right="0" w:hanging="0"/>
              <w:jc w:val="both"/>
              <w:rPr>
                <w:rFonts w:ascii="Candara" w:hAnsi="Candara" w:eastAsia="Candara" w:cs="Candar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 determinar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FULL D’INSCRIPCIÓ, FULL DE PAGAMENT I BONIFICACIÓ I/O EXEMPCIÓ DE PAGAMENT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0" w:after="0"/>
              <w:ind w:left="1080" w:right="0" w:hanging="0"/>
              <w:jc w:val="left"/>
              <w:rPr>
                <w:rFonts w:ascii="Candara" w:hAnsi="Candara" w:eastAsia="Candara" w:cs="Candar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ndara" w:cs="Candara" w:ascii="Candara" w:hAnsi="Candar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 determinar</w:t>
            </w:r>
          </w:p>
        </w:tc>
      </w:tr>
      <w:tr>
        <w:trPr/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SESSIONS D’ASSESSORAMENT</w:t>
            </w:r>
          </w:p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A determinar</w:t>
            </w:r>
          </w:p>
        </w:tc>
      </w:tr>
      <w:tr>
        <w:trPr/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  <w:t>ENQUESTES</w:t>
            </w:r>
          </w:p>
          <w:p>
            <w:pPr>
              <w:pStyle w:val="Normal1"/>
              <w:widowControl w:val="false"/>
              <w:rPr>
                <w:rFonts w:ascii="Candara" w:hAnsi="Candara" w:eastAsia="Candara" w:cs="Candara"/>
                <w:b/>
                <w:b/>
                <w:sz w:val="24"/>
                <w:szCs w:val="24"/>
              </w:rPr>
            </w:pPr>
            <w:r>
              <w:rPr>
                <w:rFonts w:eastAsia="Candara" w:cs="Candara" w:ascii="Candara" w:hAnsi="Candara"/>
                <w:b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360" w:before="240" w:after="0"/>
        <w:rPr>
          <w:rFonts w:ascii="Candara" w:hAnsi="Candara" w:eastAsia="Candara" w:cs="Candara"/>
        </w:rPr>
      </w:pPr>
      <w:r>
        <w:rPr>
          <w:rFonts w:eastAsia="Candara" w:cs="Candara" w:ascii="Candara" w:hAnsi="Candara"/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pageBreakBefore w:val="false"/>
        <w:spacing w:lineRule="auto" w:line="24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p>
      <w:pPr>
        <w:pStyle w:val="Normal1"/>
        <w:pageBreakBefore w:val="false"/>
        <w:spacing w:lineRule="auto" w:line="24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70" w:top="1700" w:footer="34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inherit">
    <w:charset w:val="00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spacing w:lineRule="auto" w:line="240"/>
      <w:ind w:left="-566" w:right="-547" w:hanging="0"/>
      <w:rPr>
        <w:sz w:val="8"/>
        <w:szCs w:val="8"/>
      </w:rPr>
    </w:pPr>
    <w:r>
      <w:rPr>
        <w:sz w:val="8"/>
        <w:szCs w:val="8"/>
      </w:rPr>
    </w:r>
  </w:p>
  <w:p>
    <w:pPr>
      <w:pStyle w:val="Normal1"/>
      <w:pageBreakBefore w:val="false"/>
      <w:spacing w:lineRule="auto" w:line="240"/>
      <w:ind w:left="-566" w:right="-547" w:hanging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Normal1"/>
      <w:pageBreakBefore w:val="false"/>
      <w:spacing w:lineRule="auto" w:line="240"/>
      <w:ind w:left="-566" w:right="-547" w:hanging="0"/>
      <w:jc w:val="center"/>
      <w:rPr>
        <w:sz w:val="16"/>
        <w:szCs w:val="16"/>
      </w:rPr>
    </w:pP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-1.55pt;width:453.55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>
    <w:pPr>
      <w:pStyle w:val="Normal1"/>
      <w:pageBreakBefore w:val="false"/>
      <w:spacing w:lineRule="auto" w:line="240"/>
      <w:ind w:left="-566" w:right="-547" w:hanging="0"/>
      <w:jc w:val="center"/>
      <w:rPr>
        <w:sz w:val="16"/>
        <w:szCs w:val="16"/>
      </w:rPr>
    </w:pPr>
    <w:r>
      <w:rPr>
        <w:sz w:val="16"/>
        <w:szCs w:val="16"/>
      </w:rPr>
    </w:r>
  </w:p>
  <w:tbl>
    <w:tblPr>
      <w:tblStyle w:val="Table3"/>
      <w:tblW w:w="9630" w:type="dxa"/>
      <w:jc w:val="left"/>
      <w:tblInd w:w="-466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7244"/>
      <w:gridCol w:w="2385"/>
    </w:tblGrid>
    <w:tr>
      <w:trPr>
        <w:trHeight w:val="1180" w:hRule="atLeast"/>
      </w:trPr>
      <w:tc>
        <w:tcPr>
          <w:tcW w:w="72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/>
            <w:drawing>
              <wp:inline distT="0" distB="0" distL="0" distR="0">
                <wp:extent cx="1786255" cy="371475"/>
                <wp:effectExtent l="0" t="0" r="0" b="0"/>
                <wp:docPr id="3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  <w:tc>
        <w:tcPr>
          <w:tcW w:w="23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auto" w:val="clear"/>
        </w:tcPr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28/10/2019</w:t>
          </w:r>
        </w:p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1"/>
            <w:widowControl w:val="false"/>
            <w:spacing w:lineRule="auto" w:lin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 1</w:t>
          </w:r>
        </w:p>
        <w:p>
          <w:pPr>
            <w:pStyle w:val="Normal1"/>
            <w:widowControl w:val="false"/>
            <w:spacing w:lineRule="auto" w:line="240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1"/>
            <w:widowControl w:val="false"/>
            <w:spacing w:lineRule="auto" w:line="240"/>
            <w:jc w:val="right"/>
            <w:rPr>
              <w:sz w:val="16"/>
              <w:szCs w:val="16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Normal1"/>
      <w:pageBreakBefore w:val="false"/>
      <w:spacing w:lineRule="auto" w:line="240"/>
      <w:ind w:left="-566" w:right="-547" w:hanging="0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widowControl w:val="false"/>
      <w:spacing w:lineRule="auto" w:line="240"/>
      <w:rPr>
        <w:sz w:val="12"/>
        <w:szCs w:val="12"/>
      </w:rPr>
    </w:pPr>
    <w:r>
      <w:rPr>
        <w:sz w:val="12"/>
        <w:szCs w:val="12"/>
      </w:rPr>
    </w:r>
  </w:p>
  <w:tbl>
    <w:tblPr>
      <w:tblStyle w:val="Table1"/>
      <w:tblW w:w="9930" w:type="dxa"/>
      <w:jc w:val="left"/>
      <w:tblInd w:w="-2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5594"/>
      <w:gridCol w:w="4335"/>
    </w:tblGrid>
    <w:tr>
      <w:trPr/>
      <w:tc>
        <w:tcPr>
          <w:tcW w:w="5594" w:type="dxa"/>
          <w:tcBorders>
            <w:bottom w:val="single" w:sz="8" w:space="0" w:color="000000"/>
          </w:tcBorders>
          <w:shd w:fill="auto" w:val="clear"/>
        </w:tcPr>
        <w:p>
          <w:pPr>
            <w:pStyle w:val="Normal1"/>
            <w:widowControl w:val="false"/>
            <w:spacing w:lineRule="auto" w:line="240"/>
            <w:rPr>
              <w:sz w:val="8"/>
              <w:szCs w:val="8"/>
            </w:rPr>
          </w:pPr>
          <w:r>
            <w:rPr>
              <w:sz w:val="8"/>
              <w:szCs w:val="8"/>
            </w:rPr>
            <w:t xml:space="preserve">  </w:t>
          </w:r>
        </w:p>
        <w:p>
          <w:pPr>
            <w:pStyle w:val="Normal1"/>
            <w:widowControl w:val="false"/>
            <w:spacing w:lineRule="auto" w:line="240"/>
            <w:rPr/>
          </w:pPr>
          <w:r>
            <w:rPr/>
            <w:drawing>
              <wp:inline distT="0" distB="0" distL="0" distR="0">
                <wp:extent cx="2513330" cy="39497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33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1"/>
            <w:widowControl w:val="false"/>
            <w:spacing w:lineRule="auto" w:line="240"/>
            <w:rPr>
              <w:b/>
              <w:b/>
              <w:sz w:val="24"/>
              <w:szCs w:val="24"/>
            </w:rPr>
          </w:pPr>
          <w:r>
            <w:rPr/>
            <w:t xml:space="preserve">         </w:t>
          </w:r>
          <w:r>
            <w:rPr>
              <w:b/>
            </w:rPr>
            <w:t xml:space="preserve"> </w:t>
          </w:r>
          <w:r>
            <w:rPr>
              <w:b/>
              <w:sz w:val="24"/>
              <w:szCs w:val="24"/>
            </w:rPr>
            <w:t>Institut Pere Borrell</w:t>
          </w:r>
        </w:p>
      </w:tc>
      <w:tc>
        <w:tcPr>
          <w:tcW w:w="4335" w:type="dxa"/>
          <w:tcBorders>
            <w:bottom w:val="single" w:sz="8" w:space="0" w:color="000000"/>
          </w:tcBorders>
          <w:shd w:fill="FFFFFF" w:val="clear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rmal1"/>
            <w:widowControl w:val="false"/>
            <w:spacing w:lineRule="auto" w:line="24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</w:r>
        </w:p>
        <w:tbl>
          <w:tblPr>
            <w:tblStyle w:val="Table2"/>
            <w:tblW w:w="3255" w:type="dxa"/>
            <w:jc w:val="center"/>
            <w:tblInd w:w="0" w:type="dxa"/>
            <w:tblLayout w:type="fixed"/>
            <w:tblCellMar>
              <w:top w:w="100" w:type="dxa"/>
              <w:left w:w="100" w:type="dxa"/>
              <w:bottom w:w="100" w:type="dxa"/>
              <w:right w:w="100" w:type="dxa"/>
            </w:tblCellMar>
            <w:tblLook w:val="0600"/>
          </w:tblPr>
          <w:tblGrid>
            <w:gridCol w:w="3255"/>
          </w:tblGrid>
          <w:tr>
            <w:trPr>
              <w:trHeight w:val="820" w:hRule="atLeast"/>
            </w:trPr>
            <w:tc>
              <w:tcPr>
                <w:tcW w:w="32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fill="auto" w:val="clear"/>
              </w:tcPr>
              <w:p>
                <w:pPr>
                  <w:pStyle w:val="Normal1"/>
                  <w:widowControl w:val="false"/>
                  <w:spacing w:lineRule="auto" w:line="24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</w:r>
              </w:p>
            </w:tc>
          </w:tr>
        </w:tbl>
        <w:p>
          <w:pPr>
            <w:pStyle w:val="Normal1"/>
            <w:widowControl w:val="false"/>
            <w:spacing w:lineRule="auto" w:line="24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</w:r>
        </w:p>
      </w:tc>
    </w:tr>
  </w:tbl>
  <w:p>
    <w:pPr>
      <w:pStyle w:val="Normal1"/>
      <w:pageBreakBefore w:val="false"/>
      <w:spacing w:lineRule="auto" w:line="240"/>
      <w:ind w:left="-566" w:right="-547" w:hanging="0"/>
      <w:jc w:val="center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b/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b/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b/>
      <w:i/>
      <w:color w:val="666666"/>
      <w:sz w:val="22"/>
      <w:szCs w:val="22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b/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LibreOffice/7.0.5.2$Windows_X86_64 LibreOffice_project/64390860c6cd0aca4beafafcfd84613dd9dfb63a</Application>
  <AppVersion>15.0000</AppVersion>
  <Pages>2</Pages>
  <Words>124</Words>
  <Characters>753</Characters>
  <CharactersWithSpaces>848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2021-09-03T12:37:57Z</dcterms:modified>
  <cp:revision>2</cp:revision>
  <dc:subject/>
  <dc:title/>
</cp:coreProperties>
</file>