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8B" w:rsidRDefault="00B92F8B">
      <w:bookmarkStart w:id="0" w:name="_GoBack"/>
      <w:bookmarkEnd w:id="0"/>
    </w:p>
    <w:p w:rsidR="00B92F8B" w:rsidRDefault="00652D2A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PREINSCRIPCIÓ 2021/2022</w:t>
      </w:r>
    </w:p>
    <w:p w:rsidR="00B92F8B" w:rsidRDefault="00B92F8B"/>
    <w:p w:rsidR="00B92F8B" w:rsidRDefault="00652D2A">
      <w:pPr>
        <w:spacing w:before="140" w:line="451" w:lineRule="auto"/>
        <w:ind w:left="100" w:right="4280"/>
        <w:rPr>
          <w:b/>
          <w:color w:val="FF0000"/>
          <w:sz w:val="20"/>
          <w:szCs w:val="20"/>
        </w:rPr>
      </w:pPr>
      <w:r>
        <w:rPr>
          <w:b/>
        </w:rPr>
        <w:t xml:space="preserve">Període: </w:t>
      </w:r>
      <w:r>
        <w:t xml:space="preserve">del 17 al 24 de març de 2021 </w:t>
      </w:r>
      <w:r>
        <w:rPr>
          <w:b/>
          <w:sz w:val="20"/>
          <w:szCs w:val="20"/>
        </w:rPr>
        <w:t xml:space="preserve">Sol·licitud: </w:t>
      </w:r>
      <w:r>
        <w:rPr>
          <w:b/>
          <w:color w:val="FF0000"/>
          <w:sz w:val="20"/>
          <w:szCs w:val="20"/>
        </w:rPr>
        <w:t>es penjarà  l’enllaç a partir del dia 17</w:t>
      </w:r>
    </w:p>
    <w:p w:rsidR="00B92F8B" w:rsidRDefault="00652D2A">
      <w:pPr>
        <w:spacing w:before="140" w:line="451" w:lineRule="auto"/>
        <w:ind w:left="100" w:right="4280"/>
        <w:rPr>
          <w:b/>
        </w:rPr>
      </w:pPr>
      <w:r>
        <w:rPr>
          <w:b/>
        </w:rPr>
        <w:t>Novetats:</w:t>
      </w:r>
    </w:p>
    <w:p w:rsidR="00B92F8B" w:rsidRDefault="00652D2A">
      <w:pPr>
        <w:ind w:left="820" w:right="10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 xml:space="preserve">A partir d’aquest curs totes les sol·licituds són en format telemàtic, per tant, </w:t>
      </w:r>
      <w:r>
        <w:rPr>
          <w:u w:val="single"/>
        </w:rPr>
        <w:t>no hi ha la</w:t>
      </w:r>
      <w:r>
        <w:t xml:space="preserve"> </w:t>
      </w:r>
      <w:r>
        <w:rPr>
          <w:u w:val="single"/>
        </w:rPr>
        <w:t>possibilitat de full de preinscripció en paper</w:t>
      </w:r>
      <w:r>
        <w:t>.</w:t>
      </w:r>
    </w:p>
    <w:p w:rsidR="00B92F8B" w:rsidRDefault="00652D2A">
      <w:pPr>
        <w:ind w:left="820" w:right="10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No cal lliurar cap documentació presencialment al centre educatiu que indiqueu en primera opció.</w:t>
      </w:r>
    </w:p>
    <w:p w:rsidR="00B92F8B" w:rsidRDefault="00652D2A">
      <w:pPr>
        <w:ind w:left="1180" w:hanging="360"/>
      </w:pPr>
      <w: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t>Hi ha dos tipus de sol·licitud:</w:t>
      </w:r>
    </w:p>
    <w:p w:rsidR="00B92F8B" w:rsidRDefault="00B92F8B">
      <w:pPr>
        <w:ind w:left="1180" w:hanging="360"/>
      </w:pPr>
    </w:p>
    <w:p w:rsidR="00B92F8B" w:rsidRDefault="00652D2A">
      <w:pPr>
        <w:spacing w:after="240"/>
      </w:pPr>
      <w:r>
        <w:rPr>
          <w:b/>
          <w:sz w:val="19"/>
          <w:szCs w:val="19"/>
        </w:rPr>
        <w:t xml:space="preserve"> </w:t>
      </w:r>
      <w:r>
        <w:rPr>
          <w:b/>
        </w:rPr>
        <w:t>1.</w:t>
      </w:r>
      <w:r>
        <w:rPr>
          <w:b/>
          <w:sz w:val="14"/>
          <w:szCs w:val="14"/>
        </w:rPr>
        <w:t xml:space="preserve">       </w:t>
      </w:r>
      <w:r>
        <w:rPr>
          <w:b/>
          <w:u w:val="single"/>
        </w:rPr>
        <w:t>SOL·LICITUD ELECTRÒNICA</w:t>
      </w:r>
      <w:r>
        <w:rPr>
          <w:b/>
        </w:rPr>
        <w:t xml:space="preserve">: </w:t>
      </w:r>
      <w:r>
        <w:t>Mitjançant certificat d</w:t>
      </w:r>
      <w:r>
        <w:t xml:space="preserve">igital, com DNI electrònic, </w:t>
      </w:r>
      <w:proofErr w:type="spellStart"/>
      <w:r>
        <w:t>Cl@ve</w:t>
      </w:r>
      <w:proofErr w:type="spellEnd"/>
      <w:r>
        <w:t xml:space="preserve">, </w:t>
      </w:r>
      <w:proofErr w:type="spellStart"/>
      <w:r>
        <w:t>idCat</w:t>
      </w:r>
      <w:proofErr w:type="spellEnd"/>
      <w:r>
        <w:t xml:space="preserve">, etc. Si no es disposa de cap certificat, us en podeu generar un de forma fàcil, </w:t>
      </w:r>
      <w:proofErr w:type="spellStart"/>
      <w:r>
        <w:t>l’idCat</w:t>
      </w:r>
      <w:proofErr w:type="spellEnd"/>
      <w:r>
        <w:t xml:space="preserve"> </w:t>
      </w:r>
      <w:proofErr w:type="spellStart"/>
      <w:r>
        <w:t>Mòbil.Accediu</w:t>
      </w:r>
      <w:proofErr w:type="spellEnd"/>
      <w:r>
        <w:t xml:space="preserve"> a l’adreça </w:t>
      </w:r>
      <w:hyperlink r:id="rId7">
        <w:r>
          <w:rPr>
            <w:color w:val="1155CC"/>
            <w:u w:val="single"/>
          </w:rPr>
          <w:t>https://idcatmobil.seu.cat/</w:t>
        </w:r>
      </w:hyperlink>
    </w:p>
    <w:p w:rsidR="00B92F8B" w:rsidRDefault="00652D2A">
      <w:pPr>
        <w:spacing w:after="240"/>
      </w:pPr>
      <w:r>
        <w:rPr>
          <w:b/>
          <w:sz w:val="25"/>
          <w:szCs w:val="25"/>
        </w:rPr>
        <w:t xml:space="preserve"> </w:t>
      </w:r>
      <w:r>
        <w:rPr>
          <w:b/>
        </w:rPr>
        <w:t>2.</w:t>
      </w:r>
      <w:r>
        <w:rPr>
          <w:b/>
          <w:sz w:val="14"/>
          <w:szCs w:val="14"/>
        </w:rPr>
        <w:t xml:space="preserve">       </w:t>
      </w:r>
      <w:r>
        <w:rPr>
          <w:b/>
          <w:u w:val="single"/>
        </w:rPr>
        <w:t>SOL·LICITUD EN S</w:t>
      </w:r>
      <w:r>
        <w:rPr>
          <w:b/>
          <w:u w:val="single"/>
        </w:rPr>
        <w:t>UPORT INFORMÀTIC</w:t>
      </w:r>
      <w:r>
        <w:rPr>
          <w:b/>
        </w:rPr>
        <w:t xml:space="preserve">: </w:t>
      </w:r>
      <w:r>
        <w:t xml:space="preserve">Caldrà identificar l’alumne/a amb el seu </w:t>
      </w:r>
      <w:r>
        <w:rPr>
          <w:i/>
        </w:rPr>
        <w:t xml:space="preserve">núm. d’Identificació d’alumne </w:t>
      </w:r>
      <w:r>
        <w:t>i omplir el formulari, a l’enviar-ho es farà l’intercanvi de dades amb les administracions implicades i adjuntar escanejada o fotografiada la documentació d’identifica</w:t>
      </w:r>
      <w:r>
        <w:t xml:space="preserve">ció i filiació (DNI, llibre de família, </w:t>
      </w:r>
      <w:proofErr w:type="spellStart"/>
      <w:r>
        <w:t>etc</w:t>
      </w:r>
      <w:proofErr w:type="spellEnd"/>
      <w:r>
        <w:t>), juntament amb la que al·legueu a efectes de barems i que no s’hagi pogut validar.</w:t>
      </w:r>
    </w:p>
    <w:p w:rsidR="00B92F8B" w:rsidRDefault="00652D2A">
      <w:pPr>
        <w:rPr>
          <w:b/>
        </w:rPr>
      </w:pPr>
      <w:r>
        <w:rPr>
          <w:b/>
        </w:rPr>
        <w:t xml:space="preserve">En cas de dubtes a </w:t>
      </w:r>
      <w:proofErr w:type="spellStart"/>
      <w:r>
        <w:rPr>
          <w:b/>
        </w:rPr>
        <w:t>l’inscripció</w:t>
      </w:r>
      <w:proofErr w:type="spellEnd"/>
      <w:r>
        <w:rPr>
          <w:b/>
        </w:rPr>
        <w:t xml:space="preserve"> podeu trucar el centre. Si és necessari, es podrà fer de forma presencial AMB SUPORT INFORMÀTIC només demanant cita prèvia al telèfon 972884642, entre el 17 al 24 de març. </w:t>
      </w:r>
    </w:p>
    <w:p w:rsidR="00B92F8B" w:rsidRDefault="00B92F8B">
      <w:pPr>
        <w:rPr>
          <w:b/>
        </w:rPr>
      </w:pPr>
    </w:p>
    <w:p w:rsidR="00B92F8B" w:rsidRDefault="00652D2A">
      <w:pPr>
        <w:rPr>
          <w:b/>
        </w:rPr>
      </w:pPr>
      <w:r>
        <w:rPr>
          <w:b/>
        </w:rPr>
        <w:t xml:space="preserve">Per més informació: </w:t>
      </w:r>
      <w:hyperlink r:id="rId8">
        <w:r>
          <w:rPr>
            <w:b/>
            <w:color w:val="1155CC"/>
            <w:u w:val="single"/>
          </w:rPr>
          <w:t>https://preinscripcio.gencat.cat/ca/inici</w:t>
        </w:r>
      </w:hyperlink>
    </w:p>
    <w:p w:rsidR="00B92F8B" w:rsidRDefault="00B92F8B">
      <w:pPr>
        <w:rPr>
          <w:b/>
        </w:rPr>
      </w:pPr>
    </w:p>
    <w:sectPr w:rsidR="00B92F8B">
      <w:headerReference w:type="default" r:id="rId9"/>
      <w:footerReference w:type="default" r:id="rId10"/>
      <w:pgSz w:w="11909" w:h="16834"/>
      <w:pgMar w:top="1440" w:right="1440" w:bottom="1440" w:left="1440" w:header="317" w:footer="3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2A" w:rsidRDefault="00652D2A">
      <w:pPr>
        <w:spacing w:line="240" w:lineRule="auto"/>
      </w:pPr>
      <w:r>
        <w:separator/>
      </w:r>
    </w:p>
  </w:endnote>
  <w:endnote w:type="continuationSeparator" w:id="0">
    <w:p w:rsidR="00652D2A" w:rsidRDefault="00652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8B" w:rsidRDefault="00652D2A">
    <w:pPr>
      <w:spacing w:line="240" w:lineRule="auto"/>
      <w:ind w:right="-141"/>
      <w:jc w:val="both"/>
      <w:rPr>
        <w:sz w:val="16"/>
        <w:szCs w:val="16"/>
      </w:rPr>
    </w:pPr>
    <w:r>
      <w:rPr>
        <w:sz w:val="16"/>
        <w:szCs w:val="16"/>
      </w:rPr>
      <w:t>C/ Escoles Pies, 46 - 17520 PUIGCERDÀ          Tel. 972 88 46 42             info</w:t>
    </w:r>
    <w:hyperlink r:id="rId1">
      <w:r>
        <w:rPr>
          <w:sz w:val="16"/>
          <w:szCs w:val="16"/>
        </w:rPr>
        <w:t>@inspereborrell.cat</w:t>
      </w:r>
    </w:hyperlink>
    <w:r>
      <w:rPr>
        <w:sz w:val="16"/>
        <w:szCs w:val="16"/>
      </w:rPr>
      <w:t xml:space="preserve">              www.inspereborrell.cat</w:t>
    </w:r>
  </w:p>
  <w:p w:rsidR="00B92F8B" w:rsidRDefault="00B92F8B">
    <w:pPr>
      <w:spacing w:line="160" w:lineRule="auto"/>
      <w:ind w:right="-141"/>
      <w:jc w:val="center"/>
      <w:rPr>
        <w:sz w:val="16"/>
        <w:szCs w:val="16"/>
      </w:rPr>
    </w:pPr>
  </w:p>
  <w:p w:rsidR="00B92F8B" w:rsidRDefault="00652D2A">
    <w:pPr>
      <w:spacing w:line="160" w:lineRule="auto"/>
      <w:ind w:right="-141"/>
      <w:jc w:val="center"/>
    </w:pPr>
    <w:r>
      <w:rPr>
        <w:sz w:val="16"/>
        <w:szCs w:val="16"/>
      </w:rPr>
      <w:t xml:space="preserve">   facebook.com/</w:t>
    </w:r>
    <w:proofErr w:type="spellStart"/>
    <w:r>
      <w:rPr>
        <w:sz w:val="16"/>
        <w:szCs w:val="16"/>
      </w:rPr>
      <w:t>inspereborrell</w:t>
    </w:r>
    <w:proofErr w:type="spellEnd"/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instagram.com/</w:t>
    </w:r>
    <w:proofErr w:type="spellStart"/>
    <w:r>
      <w:rPr>
        <w:sz w:val="16"/>
        <w:szCs w:val="16"/>
      </w:rPr>
      <w:t>ins_pere_borrell</w:t>
    </w:r>
    <w:proofErr w:type="spellEnd"/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twitter.com/</w:t>
    </w:r>
    <w:proofErr w:type="spellStart"/>
    <w:r>
      <w:rPr>
        <w:sz w:val="16"/>
        <w:szCs w:val="16"/>
      </w:rPr>
      <w:t>InsPereBorrell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2A" w:rsidRDefault="00652D2A">
      <w:pPr>
        <w:spacing w:line="240" w:lineRule="auto"/>
      </w:pPr>
      <w:r>
        <w:separator/>
      </w:r>
    </w:p>
  </w:footnote>
  <w:footnote w:type="continuationSeparator" w:id="0">
    <w:p w:rsidR="00652D2A" w:rsidRDefault="00652D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8B" w:rsidRDefault="00B92F8B">
    <w:pPr>
      <w:widowControl w:val="0"/>
      <w:spacing w:line="240" w:lineRule="auto"/>
      <w:rPr>
        <w:sz w:val="2"/>
        <w:szCs w:val="2"/>
      </w:rPr>
    </w:pPr>
  </w:p>
  <w:tbl>
    <w:tblPr>
      <w:tblStyle w:val="a"/>
      <w:tblW w:w="9600" w:type="dxa"/>
      <w:tblInd w:w="-2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495"/>
      <w:gridCol w:w="3105"/>
    </w:tblGrid>
    <w:tr w:rsidR="00B92F8B">
      <w:tc>
        <w:tcPr>
          <w:tcW w:w="6495" w:type="dxa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92F8B" w:rsidRDefault="00652D2A">
          <w:pPr>
            <w:widowControl w:val="0"/>
            <w:spacing w:line="240" w:lineRule="auto"/>
            <w:rPr>
              <w:sz w:val="8"/>
              <w:szCs w:val="8"/>
            </w:rPr>
          </w:pPr>
          <w:r>
            <w:rPr>
              <w:sz w:val="8"/>
              <w:szCs w:val="8"/>
            </w:rPr>
            <w:t xml:space="preserve">  </w:t>
          </w:r>
        </w:p>
        <w:p w:rsidR="00B92F8B" w:rsidRDefault="00652D2A">
          <w:pPr>
            <w:widowControl w:val="0"/>
            <w:spacing w:line="240" w:lineRule="auto"/>
          </w:pPr>
          <w:r>
            <w:rPr>
              <w:noProof/>
              <w:lang w:val="ca-ES"/>
            </w:rPr>
            <w:drawing>
              <wp:inline distT="114300" distB="114300" distL="114300" distR="114300">
                <wp:extent cx="2319209" cy="366713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9209" cy="3667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  <w:tcBorders>
            <w:top w:val="nil"/>
            <w:left w:val="nil"/>
            <w:right w:val="nil"/>
          </w:tcBorders>
          <w:shd w:val="clear" w:color="auto" w:fill="FFFFFF"/>
          <w:vAlign w:val="center"/>
        </w:tcPr>
        <w:p w:rsidR="00B92F8B" w:rsidRDefault="00652D2A">
          <w:pPr>
            <w:spacing w:line="240" w:lineRule="auto"/>
            <w:jc w:val="center"/>
            <w:rPr>
              <w:sz w:val="14"/>
              <w:szCs w:val="14"/>
            </w:rPr>
          </w:pPr>
          <w:r>
            <w:rPr>
              <w:noProof/>
              <w:sz w:val="14"/>
              <w:szCs w:val="14"/>
              <w:lang w:val="ca-ES"/>
            </w:rPr>
            <w:drawing>
              <wp:inline distT="114300" distB="114300" distL="114300" distR="114300">
                <wp:extent cx="1690688" cy="453816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688" cy="4538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92F8B" w:rsidRDefault="00652D2A">
    <w:pPr>
      <w:rPr>
        <w:sz w:val="2"/>
        <w:szCs w:val="2"/>
      </w:rPr>
    </w:pPr>
    <w:r>
      <w:rPr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2F8B"/>
    <w:rsid w:val="0055572C"/>
    <w:rsid w:val="00652D2A"/>
    <w:rsid w:val="00B9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557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55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557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55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inscripcio.gencat.cat/ca/i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catmobil.seu.ca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spereborrellpuigcerda@xte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2</cp:revision>
  <dcterms:created xsi:type="dcterms:W3CDTF">2021-03-08T12:22:00Z</dcterms:created>
  <dcterms:modified xsi:type="dcterms:W3CDTF">2021-03-08T12:22:00Z</dcterms:modified>
</cp:coreProperties>
</file>