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5oscura-nfasis4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7083"/>
        <w:gridCol w:w="2981"/>
      </w:tblGrid>
      <w:tr w:rsidR="008D0898" w:rsidRPr="00917349" w:rsidTr="00917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EE1888"/>
          </w:tcPr>
          <w:p w:rsidR="005B7D79" w:rsidRPr="004908A9" w:rsidRDefault="005B7D79" w:rsidP="005B7D79">
            <w:pPr>
              <w:pStyle w:val="Sinespaciado"/>
              <w:ind w:left="313" w:hanging="313"/>
              <w:jc w:val="center"/>
              <w:rPr>
                <w:rFonts w:cstheme="minorHAnsi"/>
                <w:sz w:val="28"/>
                <w:szCs w:val="28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D7A38" w:rsidRPr="00917349" w:rsidRDefault="00B464FB" w:rsidP="00A16FF4">
            <w:pPr>
              <w:pStyle w:val="Sinespaciado"/>
              <w:ind w:left="313" w:hanging="313"/>
              <w:jc w:val="center"/>
              <w:rPr>
                <w:rFonts w:cstheme="minorHAnsi"/>
                <w:sz w:val="7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7349">
              <w:rPr>
                <w:rFonts w:cstheme="minorHAnsi"/>
                <w:sz w:val="7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LONDRES</w:t>
            </w:r>
            <w:r w:rsidR="00136E72" w:rsidRPr="00917349">
              <w:rPr>
                <w:rFonts w:cstheme="minorHAnsi"/>
                <w:sz w:val="7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 FAMILIES </w:t>
            </w:r>
          </w:p>
          <w:p w:rsidR="000B703E" w:rsidRPr="008D0898" w:rsidRDefault="00917349" w:rsidP="009511EC">
            <w:pPr>
              <w:pStyle w:val="Sinespaciado"/>
              <w:ind w:left="313" w:hanging="313"/>
              <w:jc w:val="center"/>
              <w:rPr>
                <w:rFonts w:cstheme="minorHAnsi"/>
                <w:sz w:val="40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44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DD7A38">
              <w:rPr>
                <w:rFonts w:cstheme="minorHAnsi"/>
                <w:sz w:val="44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DIES – </w:t>
            </w:r>
            <w:r>
              <w:rPr>
                <w:rFonts w:cstheme="minorHAnsi"/>
                <w:sz w:val="44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DD7A38">
              <w:rPr>
                <w:rFonts w:cstheme="minorHAnsi"/>
                <w:sz w:val="44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NITS</w:t>
            </w:r>
          </w:p>
        </w:tc>
        <w:tc>
          <w:tcPr>
            <w:tcW w:w="2981" w:type="dxa"/>
            <w:shd w:val="clear" w:color="auto" w:fill="FFFFFF" w:themeFill="background1"/>
          </w:tcPr>
          <w:p w:rsidR="005B7D79" w:rsidRPr="00917349" w:rsidRDefault="00917349" w:rsidP="005D5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32"/>
                <w:szCs w:val="28"/>
                <w:lang w:val="ca-ES" w:eastAsia="es-419"/>
              </w:rPr>
            </w:pPr>
            <w:r>
              <w:rPr>
                <w:noProof/>
                <w:sz w:val="32"/>
                <w:szCs w:val="28"/>
                <w:lang w:val="ca-ES" w:eastAsia="ca-ES"/>
              </w:rPr>
              <w:drawing>
                <wp:inline distT="0" distB="0" distL="0" distR="0">
                  <wp:extent cx="1803504" cy="1200150"/>
                  <wp:effectExtent l="0" t="0" r="635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escarga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176" cy="12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547B" w:rsidRPr="00917349" w:rsidRDefault="00917349" w:rsidP="000B703E">
      <w:pPr>
        <w:pStyle w:val="Sinespaciado"/>
        <w:spacing w:before="240"/>
        <w:jc w:val="center"/>
        <w:rPr>
          <w:rFonts w:cstheme="minorHAnsi"/>
          <w:b/>
          <w:color w:val="EE1888"/>
          <w:sz w:val="40"/>
          <w:szCs w:val="50"/>
          <w:lang w:val="ca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7349">
        <w:rPr>
          <w:rFonts w:cstheme="minorHAnsi"/>
          <w:b/>
          <w:noProof/>
          <w:color w:val="EE1888"/>
          <w:sz w:val="40"/>
          <w:szCs w:val="50"/>
          <w:lang w:val="ca-ES"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6383655" cy="1652270"/>
            <wp:effectExtent l="0" t="0" r="0" b="508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ndon pag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EC9">
        <w:rPr>
          <w:rFonts w:cstheme="minorHAnsi"/>
          <w:b/>
          <w:color w:val="EE1888"/>
          <w:sz w:val="40"/>
          <w:szCs w:val="50"/>
          <w:lang w:val="ca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INS LA MALLOLA</w:t>
      </w:r>
    </w:p>
    <w:tbl>
      <w:tblPr>
        <w:tblStyle w:val="Tablanormal31"/>
        <w:tblW w:w="3085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951"/>
        <w:gridCol w:w="1134"/>
      </w:tblGrid>
      <w:tr w:rsidR="000B703E" w:rsidRPr="00996294" w:rsidTr="00917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51" w:type="dxa"/>
            <w:tcBorders>
              <w:bottom w:val="none" w:sz="0" w:space="0" w:color="auto"/>
              <w:right w:val="none" w:sz="0" w:space="0" w:color="auto"/>
            </w:tcBorders>
          </w:tcPr>
          <w:p w:rsidR="000B703E" w:rsidRPr="00996294" w:rsidRDefault="000B703E" w:rsidP="00A16FF4">
            <w:pPr>
              <w:pStyle w:val="Sinespaciado"/>
              <w:jc w:val="center"/>
              <w:rPr>
                <w:rFonts w:eastAsiaTheme="minorHAnsi" w:cstheme="minorHAnsi"/>
                <w:bCs w:val="0"/>
                <w:caps w:val="0"/>
                <w:color w:val="548DD4" w:themeColor="text2" w:themeTint="99"/>
                <w:sz w:val="22"/>
                <w:szCs w:val="60"/>
              </w:rPr>
            </w:pPr>
            <w:r w:rsidRPr="00996294">
              <w:rPr>
                <w:rFonts w:eastAsiaTheme="minorHAnsi" w:cstheme="minorHAnsi"/>
                <w:bCs w:val="0"/>
                <w:caps w:val="0"/>
                <w:color w:val="548DD4" w:themeColor="text2" w:themeTint="99"/>
                <w:sz w:val="22"/>
                <w:szCs w:val="60"/>
              </w:rPr>
              <w:t>PREU</w:t>
            </w:r>
          </w:p>
        </w:tc>
        <w:tc>
          <w:tcPr>
            <w:tcW w:w="1134" w:type="dxa"/>
            <w:tcBorders>
              <w:bottom w:val="none" w:sz="0" w:space="0" w:color="auto"/>
            </w:tcBorders>
          </w:tcPr>
          <w:p w:rsidR="000B703E" w:rsidRPr="00996294" w:rsidRDefault="000B703E" w:rsidP="00EC72E6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HAnsi"/>
                <w:bCs w:val="0"/>
                <w:caps w:val="0"/>
                <w:color w:val="548DD4" w:themeColor="text2" w:themeTint="99"/>
                <w:sz w:val="22"/>
                <w:szCs w:val="60"/>
                <w:lang w:val="ca-ES"/>
              </w:rPr>
            </w:pPr>
          </w:p>
        </w:tc>
      </w:tr>
      <w:tr w:rsidR="000B703E" w:rsidRPr="00996294" w:rsidTr="00917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none" w:sz="0" w:space="0" w:color="auto"/>
            </w:tcBorders>
            <w:shd w:val="clear" w:color="auto" w:fill="4F81BD" w:themeFill="accent1"/>
          </w:tcPr>
          <w:p w:rsidR="000B703E" w:rsidRPr="00430EC9" w:rsidRDefault="00430EC9" w:rsidP="00430EC9">
            <w:pPr>
              <w:pStyle w:val="Sinespaciado"/>
              <w:jc w:val="center"/>
              <w:rPr>
                <w:rFonts w:cstheme="minorHAnsi"/>
                <w:bCs w:val="0"/>
                <w:caps w:val="0"/>
                <w:color w:val="FFFFFF" w:themeColor="background1"/>
                <w:sz w:val="22"/>
                <w:szCs w:val="32"/>
              </w:rPr>
            </w:pPr>
            <w:r w:rsidRPr="00430EC9">
              <w:rPr>
                <w:rFonts w:cstheme="minorHAnsi"/>
                <w:bCs w:val="0"/>
                <w:caps w:val="0"/>
                <w:color w:val="FFFFFF" w:themeColor="background1"/>
                <w:sz w:val="22"/>
                <w:szCs w:val="32"/>
              </w:rPr>
              <w:t>13-17.01.2020</w:t>
            </w:r>
          </w:p>
        </w:tc>
        <w:tc>
          <w:tcPr>
            <w:tcW w:w="1134" w:type="dxa"/>
            <w:shd w:val="clear" w:color="auto" w:fill="4F81BD" w:themeFill="accent1"/>
          </w:tcPr>
          <w:p w:rsidR="000B703E" w:rsidRPr="00512D05" w:rsidRDefault="00515BFC" w:rsidP="00512D05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2"/>
                <w:szCs w:val="32"/>
              </w:rPr>
            </w:pPr>
            <w:r>
              <w:rPr>
                <w:rFonts w:cstheme="minorHAnsi"/>
                <w:b/>
                <w:color w:val="FFFFFF" w:themeColor="background1"/>
                <w:sz w:val="22"/>
                <w:szCs w:val="32"/>
              </w:rPr>
              <w:t>485€</w:t>
            </w:r>
          </w:p>
        </w:tc>
      </w:tr>
    </w:tbl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065"/>
      </w:tblGrid>
      <w:tr w:rsidR="00AB60CB" w:rsidRPr="004908A9" w:rsidTr="000C440C">
        <w:trPr>
          <w:trHeight w:val="443"/>
        </w:trPr>
        <w:tc>
          <w:tcPr>
            <w:tcW w:w="9985" w:type="dxa"/>
            <w:tcBorders>
              <w:bottom w:val="single" w:sz="4" w:space="0" w:color="4F81BD" w:themeColor="accent1"/>
            </w:tcBorders>
          </w:tcPr>
          <w:p w:rsidR="00AB60CB" w:rsidRPr="004908A9" w:rsidRDefault="00AB60CB" w:rsidP="00AB7920">
            <w:pPr>
              <w:tabs>
                <w:tab w:val="left" w:pos="1290"/>
              </w:tabs>
              <w:rPr>
                <w:rFonts w:cstheme="minorHAnsi"/>
                <w:b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MON_1403525906"/>
            <w:bookmarkStart w:id="1" w:name="_MON_1403525913"/>
            <w:bookmarkStart w:id="2" w:name="_MON_1403525934"/>
            <w:bookmarkStart w:id="3" w:name="_MON_1403526003"/>
            <w:bookmarkStart w:id="4" w:name="_MON_1403526032"/>
            <w:bookmarkStart w:id="5" w:name="_MON_1403526057"/>
            <w:bookmarkStart w:id="6" w:name="_MON_1403526080"/>
            <w:bookmarkStart w:id="7" w:name="_MON_1403526099"/>
            <w:bookmarkStart w:id="8" w:name="_MON_1403526127"/>
            <w:bookmarkStart w:id="9" w:name="_MON_1403526173"/>
            <w:bookmarkStart w:id="10" w:name="_MON_1403526364"/>
            <w:bookmarkStart w:id="11" w:name="_MON_1403526374"/>
            <w:bookmarkStart w:id="12" w:name="_MON_1403526383"/>
            <w:bookmarkStart w:id="13" w:name="_MON_1403526408"/>
            <w:bookmarkStart w:id="14" w:name="_MON_1403526445"/>
            <w:bookmarkStart w:id="15" w:name="_MON_1403526470"/>
            <w:bookmarkStart w:id="16" w:name="_MON_1403526566"/>
            <w:bookmarkStart w:id="17" w:name="_MON_1403526611"/>
            <w:bookmarkStart w:id="18" w:name="_MON_1403526640"/>
            <w:bookmarkStart w:id="19" w:name="_MON_1403528013"/>
            <w:bookmarkStart w:id="20" w:name="_MON_1403529942"/>
            <w:bookmarkStart w:id="21" w:name="_MON_1403530103"/>
            <w:bookmarkStart w:id="22" w:name="_MON_1403594939"/>
            <w:bookmarkStart w:id="23" w:name="_MON_1403596328"/>
            <w:bookmarkStart w:id="24" w:name="_MON_1403596336"/>
            <w:bookmarkStart w:id="25" w:name="_MON_1403596343"/>
            <w:bookmarkStart w:id="26" w:name="_MON_1403596394"/>
            <w:bookmarkStart w:id="27" w:name="_MON_1408955623"/>
            <w:bookmarkStart w:id="28" w:name="_MON_1408955670"/>
            <w:bookmarkStart w:id="29" w:name="_MON_1408955795"/>
            <w:bookmarkStart w:id="30" w:name="_MON_1408955821"/>
            <w:bookmarkStart w:id="31" w:name="_MON_1408968366"/>
            <w:bookmarkStart w:id="32" w:name="_MON_1408968388"/>
            <w:bookmarkStart w:id="33" w:name="_MON_1440222026"/>
            <w:bookmarkStart w:id="34" w:name="_MON_1440222162"/>
            <w:bookmarkStart w:id="35" w:name="_MON_1467016987"/>
            <w:bookmarkStart w:id="36" w:name="_MON_1467535449"/>
            <w:bookmarkStart w:id="37" w:name="_MON_1471179194"/>
            <w:bookmarkStart w:id="38" w:name="_MON_1471179258"/>
            <w:bookmarkStart w:id="39" w:name="_MON_1471179869"/>
            <w:bookmarkStart w:id="40" w:name="_MON_1471179972"/>
            <w:bookmarkStart w:id="41" w:name="_MON_1471180080"/>
            <w:bookmarkStart w:id="42" w:name="_MON_1401872727"/>
            <w:bookmarkStart w:id="43" w:name="_MON_1401872733"/>
            <w:bookmarkStart w:id="44" w:name="_MON_1401872745"/>
            <w:bookmarkStart w:id="45" w:name="_MON_1401872783"/>
            <w:bookmarkStart w:id="46" w:name="_MON_1401872802"/>
            <w:bookmarkStart w:id="47" w:name="_MON_1401872821"/>
            <w:bookmarkStart w:id="48" w:name="_MON_1401872848"/>
            <w:bookmarkStart w:id="49" w:name="_MON_1401872866"/>
            <w:bookmarkStart w:id="50" w:name="_MON_1401872877"/>
            <w:bookmarkStart w:id="51" w:name="_MON_1403525675"/>
            <w:bookmarkStart w:id="52" w:name="_MON_1403525709"/>
            <w:bookmarkStart w:id="53" w:name="_MON_1403525750"/>
            <w:bookmarkStart w:id="54" w:name="_MON_1403525769"/>
            <w:bookmarkStart w:id="55" w:name="_MON_1403525784"/>
            <w:bookmarkStart w:id="56" w:name="_MON_1403525802"/>
            <w:bookmarkStart w:id="57" w:name="_MON_1503163790"/>
            <w:bookmarkStart w:id="58" w:name="_MON_1503248326"/>
            <w:bookmarkStart w:id="59" w:name="_MON_1503248341"/>
            <w:bookmarkStart w:id="60" w:name="_MON_1503164912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r w:rsidRPr="004908A9">
              <w:rPr>
                <w:rFonts w:cstheme="minorHAnsi"/>
                <w:b/>
                <w:color w:val="4F81BD" w:themeColor="accent1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 PREU INCLOU</w:t>
            </w:r>
          </w:p>
        </w:tc>
      </w:tr>
      <w:tr w:rsidR="00AB60CB" w:rsidRPr="004908A9" w:rsidTr="000C440C">
        <w:trPr>
          <w:trHeight w:val="2530"/>
        </w:trPr>
        <w:tc>
          <w:tcPr>
            <w:tcW w:w="9985" w:type="dxa"/>
          </w:tcPr>
          <w:p w:rsidR="00B464FB" w:rsidRDefault="00B464FB" w:rsidP="00B464F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</w:pPr>
            <w:r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Vol</w:t>
            </w:r>
            <w:r w:rsidR="00A27CAD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 xml:space="preserve"> anada</w:t>
            </w:r>
            <w:r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 xml:space="preserve"> </w:t>
            </w:r>
            <w:proofErr w:type="spellStart"/>
            <w:r w:rsidR="00430EC9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Vueling</w:t>
            </w:r>
            <w:proofErr w:type="spellEnd"/>
            <w:r w:rsidR="00430EC9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 xml:space="preserve">, </w:t>
            </w:r>
            <w:r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Barcelona – Londres</w:t>
            </w:r>
            <w:r w:rsidR="00583AB3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 xml:space="preserve"> </w:t>
            </w:r>
            <w:proofErr w:type="spellStart"/>
            <w:r w:rsidR="00583AB3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GatwicK</w:t>
            </w:r>
            <w:proofErr w:type="spellEnd"/>
          </w:p>
          <w:p w:rsidR="00B464FB" w:rsidRDefault="00B464FB" w:rsidP="00B464F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</w:pPr>
            <w:r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Vol</w:t>
            </w:r>
            <w:r w:rsidR="00A27CAD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 xml:space="preserve"> tornada</w:t>
            </w:r>
            <w:r w:rsidR="00430EC9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 xml:space="preserve"> </w:t>
            </w:r>
            <w:proofErr w:type="spellStart"/>
            <w:r w:rsidR="00430EC9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Vueling</w:t>
            </w:r>
            <w:proofErr w:type="spellEnd"/>
            <w:r w:rsidR="00430EC9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,</w:t>
            </w:r>
            <w:r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 xml:space="preserve"> Londres </w:t>
            </w:r>
            <w:r w:rsidR="00430EC9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 xml:space="preserve"> Gatwick</w:t>
            </w:r>
            <w:r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– Barcelona</w:t>
            </w:r>
          </w:p>
          <w:p w:rsidR="00B464FB" w:rsidRDefault="00430EC9" w:rsidP="00B464F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</w:pPr>
            <w:r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 xml:space="preserve">Equipatge facturat  20kg + </w:t>
            </w:r>
            <w:r w:rsidR="00B464FB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Taxes aèries + Equipatge de mà 10kg per persona</w:t>
            </w:r>
          </w:p>
          <w:p w:rsidR="001B29F1" w:rsidRPr="00583AB3" w:rsidRDefault="001B29F1" w:rsidP="00583AB3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</w:pPr>
            <w:r w:rsidRPr="001B29F1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4 PC d’allotjament en famílies a Londres (Zona 4</w:t>
            </w:r>
            <w:r w:rsidR="00430EC9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 xml:space="preserve"> – New </w:t>
            </w:r>
            <w:proofErr w:type="spellStart"/>
            <w:r w:rsidR="00430EC9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Eltham</w:t>
            </w:r>
            <w:proofErr w:type="spellEnd"/>
            <w:r w:rsidRPr="001B29F1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) en habitacions de 2/3</w:t>
            </w:r>
            <w:r w:rsidR="00430EC9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 xml:space="preserve"> </w:t>
            </w:r>
            <w:r w:rsidRPr="001B29F1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persones</w:t>
            </w:r>
          </w:p>
          <w:p w:rsidR="001B29F1" w:rsidRPr="001B29F1" w:rsidRDefault="001B29F1" w:rsidP="001B29F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</w:pPr>
            <w:r w:rsidRPr="001B29F1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 xml:space="preserve">Trasllat arribada Apt. - </w:t>
            </w:r>
            <w:proofErr w:type="spellStart"/>
            <w:r w:rsidRPr="001B29F1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London</w:t>
            </w:r>
            <w:proofErr w:type="spellEnd"/>
            <w:r w:rsidRPr="001B29F1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 xml:space="preserve"> - Centre de famílies </w:t>
            </w:r>
          </w:p>
          <w:p w:rsidR="001B29F1" w:rsidRPr="001B29F1" w:rsidRDefault="001B29F1" w:rsidP="001B29F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</w:pPr>
            <w:r w:rsidRPr="001B29F1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 xml:space="preserve">Trasllat sortida Centre de famílies – </w:t>
            </w:r>
            <w:proofErr w:type="spellStart"/>
            <w:r w:rsidRPr="001B29F1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London</w:t>
            </w:r>
            <w:proofErr w:type="spellEnd"/>
            <w:r w:rsidRPr="001B29F1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 xml:space="preserve"> - Apt. </w:t>
            </w:r>
          </w:p>
          <w:p w:rsidR="00917349" w:rsidRPr="00583AB3" w:rsidRDefault="00515BFC" w:rsidP="00583AB3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</w:pPr>
            <w:r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 xml:space="preserve">Reserves a museus </w:t>
            </w:r>
          </w:p>
          <w:p w:rsidR="00917349" w:rsidRDefault="00917349" w:rsidP="0091734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</w:pPr>
            <w:r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Sessió informativa per a pares, alumnes i professors</w:t>
            </w:r>
          </w:p>
          <w:p w:rsidR="00917349" w:rsidRPr="002A42F7" w:rsidRDefault="00917349" w:rsidP="0091734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</w:pPr>
            <w:r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1 motxilla</w:t>
            </w:r>
            <w:r w:rsidR="00CF7DC3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 xml:space="preserve"> </w:t>
            </w:r>
            <w:r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per alumne</w:t>
            </w:r>
          </w:p>
          <w:p w:rsidR="00AB60CB" w:rsidRDefault="004908A9" w:rsidP="00AB792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</w:pPr>
            <w:r w:rsidRPr="004908A9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Assistència</w:t>
            </w:r>
            <w:r w:rsidR="00AB60CB" w:rsidRPr="004908A9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 xml:space="preserve"> </w:t>
            </w:r>
            <w:r w:rsidRPr="004908A9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telefònica</w:t>
            </w:r>
            <w:r w:rsidR="00AB60CB" w:rsidRPr="004908A9"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 xml:space="preserve"> del nostre equip durant el viatge.</w:t>
            </w:r>
          </w:p>
          <w:p w:rsidR="00515BFC" w:rsidRDefault="00515BFC" w:rsidP="00AB792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</w:pPr>
            <w:r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Bitllet transport públic</w:t>
            </w:r>
          </w:p>
          <w:p w:rsidR="00AC3D2F" w:rsidRPr="004908A9" w:rsidRDefault="00AC3D2F" w:rsidP="00AB792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</w:pPr>
            <w:r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  <w:t>Assegurança sanitària i responsabilitat civil.</w:t>
            </w:r>
          </w:p>
          <w:p w:rsidR="000B703E" w:rsidRPr="004908A9" w:rsidRDefault="000B703E" w:rsidP="00515BFC">
            <w:pPr>
              <w:pStyle w:val="Prrafodelista"/>
              <w:spacing w:after="0" w:line="240" w:lineRule="auto"/>
              <w:jc w:val="both"/>
              <w:rPr>
                <w:rFonts w:cstheme="minorHAnsi"/>
                <w:color w:val="4A442A" w:themeColor="background2" w:themeShade="40"/>
                <w:sz w:val="22"/>
                <w:szCs w:val="22"/>
                <w:lang w:val="ca-ES"/>
              </w:rPr>
            </w:pPr>
          </w:p>
        </w:tc>
      </w:tr>
      <w:tr w:rsidR="00AB60CB" w:rsidRPr="004908A9" w:rsidTr="000C440C">
        <w:trPr>
          <w:trHeight w:val="443"/>
        </w:trPr>
        <w:tc>
          <w:tcPr>
            <w:tcW w:w="9985" w:type="dxa"/>
            <w:tcBorders>
              <w:bottom w:val="single" w:sz="4" w:space="0" w:color="4F81BD" w:themeColor="accent1"/>
            </w:tcBorders>
          </w:tcPr>
          <w:p w:rsidR="00AB60CB" w:rsidRPr="004908A9" w:rsidRDefault="00AB60CB" w:rsidP="00AB7920">
            <w:pPr>
              <w:tabs>
                <w:tab w:val="left" w:pos="1290"/>
              </w:tabs>
              <w:rPr>
                <w:rFonts w:cstheme="minorHAnsi"/>
                <w:b/>
                <w:color w:val="548DD4" w:themeColor="text2" w:themeTint="99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60CB" w:rsidRPr="00AA1CBB" w:rsidTr="00AA1CBB">
        <w:trPr>
          <w:trHeight w:val="391"/>
        </w:trPr>
        <w:tc>
          <w:tcPr>
            <w:tcW w:w="9985" w:type="dxa"/>
          </w:tcPr>
          <w:p w:rsidR="00AB60CB" w:rsidRPr="000C440C" w:rsidRDefault="00AB60CB" w:rsidP="00895F09">
            <w:pPr>
              <w:ind w:left="360"/>
              <w:jc w:val="both"/>
              <w:rPr>
                <w:rFonts w:eastAsiaTheme="minorEastAsia" w:cstheme="minorHAnsi"/>
                <w:i/>
                <w:color w:val="4A442A" w:themeColor="background2" w:themeShade="40"/>
                <w:szCs w:val="32"/>
                <w:lang w:val="ca-ES"/>
              </w:rPr>
            </w:pPr>
          </w:p>
        </w:tc>
      </w:tr>
    </w:tbl>
    <w:p w:rsidR="00CC107D" w:rsidRDefault="009F6B15" w:rsidP="00425034">
      <w:pPr>
        <w:spacing w:after="0"/>
        <w:jc w:val="both"/>
        <w:rPr>
          <w:noProof/>
          <w:lang w:val="ca-ES" w:eastAsia="es-419"/>
        </w:rPr>
      </w:pPr>
      <w:r>
        <w:rPr>
          <w:noProof/>
          <w:lang w:val="ca-ES" w:eastAsia="ca-ES"/>
        </w:rPr>
        <w:drawing>
          <wp:inline distT="0" distB="0" distL="0" distR="0" wp14:anchorId="477A64AA" wp14:editId="3D74AEA4">
            <wp:extent cx="6383655" cy="163322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ndon pag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BFC" w:rsidRDefault="00515BFC" w:rsidP="00425034">
      <w:pPr>
        <w:spacing w:after="0"/>
        <w:jc w:val="both"/>
        <w:rPr>
          <w:noProof/>
          <w:lang w:val="ca-ES" w:eastAsia="es-419"/>
        </w:rPr>
      </w:pPr>
    </w:p>
    <w:p w:rsidR="00583AB3" w:rsidRDefault="00583AB3" w:rsidP="00425034">
      <w:pPr>
        <w:spacing w:after="0"/>
        <w:jc w:val="both"/>
        <w:rPr>
          <w:noProof/>
          <w:lang w:val="ca-ES" w:eastAsia="es-419"/>
        </w:rPr>
      </w:pPr>
    </w:p>
    <w:p w:rsidR="00583AB3" w:rsidRPr="004908A9" w:rsidRDefault="00583AB3" w:rsidP="00583AB3">
      <w:pPr>
        <w:tabs>
          <w:tab w:val="left" w:pos="6528"/>
        </w:tabs>
        <w:spacing w:after="0"/>
        <w:jc w:val="both"/>
        <w:rPr>
          <w:noProof/>
          <w:lang w:val="ca-ES" w:eastAsia="es-419"/>
        </w:rPr>
      </w:pPr>
      <w:r>
        <w:rPr>
          <w:noProof/>
          <w:lang w:val="ca-ES" w:eastAsia="es-419"/>
        </w:rPr>
        <w:tab/>
      </w:r>
    </w:p>
    <w:p w:rsidR="00CC107D" w:rsidRPr="00136E72" w:rsidRDefault="00CC107D" w:rsidP="00425034">
      <w:pPr>
        <w:spacing w:after="0"/>
        <w:jc w:val="both"/>
        <w:rPr>
          <w:noProof/>
          <w:sz w:val="4"/>
          <w:lang w:val="ca-ES" w:eastAsia="es-419"/>
        </w:rPr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8891"/>
      </w:tblGrid>
      <w:tr w:rsidR="002554FA" w:rsidRPr="00DD7A38" w:rsidTr="000C440C">
        <w:trPr>
          <w:trHeight w:val="479"/>
        </w:trPr>
        <w:tc>
          <w:tcPr>
            <w:tcW w:w="1114" w:type="dxa"/>
            <w:tcBorders>
              <w:bottom w:val="single" w:sz="4" w:space="0" w:color="4F81BD" w:themeColor="accent1"/>
            </w:tcBorders>
          </w:tcPr>
          <w:p w:rsidR="002554FA" w:rsidRPr="004908A9" w:rsidRDefault="002554FA" w:rsidP="002554FA">
            <w:pPr>
              <w:tabs>
                <w:tab w:val="left" w:pos="1290"/>
              </w:tabs>
              <w:spacing w:line="276" w:lineRule="auto"/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908A9"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DIA 1</w:t>
            </w:r>
          </w:p>
        </w:tc>
        <w:tc>
          <w:tcPr>
            <w:tcW w:w="8831" w:type="dxa"/>
            <w:tcBorders>
              <w:bottom w:val="single" w:sz="4" w:space="0" w:color="4F81BD" w:themeColor="accent1"/>
            </w:tcBorders>
          </w:tcPr>
          <w:p w:rsidR="002554FA" w:rsidRPr="004908A9" w:rsidRDefault="002554FA" w:rsidP="002554FA">
            <w:pPr>
              <w:tabs>
                <w:tab w:val="left" w:pos="1290"/>
              </w:tabs>
              <w:spacing w:line="276" w:lineRule="auto"/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5201"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APT</w:t>
            </w:r>
            <w:r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B45201"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BARCELONA – </w:t>
            </w:r>
            <w:r w:rsidRPr="00B464FB"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APT</w:t>
            </w:r>
            <w:r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B464FB"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LONDRES – LONDRES</w:t>
            </w:r>
          </w:p>
        </w:tc>
      </w:tr>
      <w:tr w:rsidR="002554FA" w:rsidRPr="004908A9" w:rsidTr="00BE2997">
        <w:trPr>
          <w:trHeight w:val="554"/>
        </w:trPr>
        <w:tc>
          <w:tcPr>
            <w:tcW w:w="1114" w:type="dxa"/>
          </w:tcPr>
          <w:p w:rsidR="002554FA" w:rsidRPr="004908A9" w:rsidRDefault="002554FA" w:rsidP="002554FA">
            <w:pPr>
              <w:tabs>
                <w:tab w:val="left" w:pos="1290"/>
              </w:tabs>
              <w:rPr>
                <w:rFonts w:eastAsiaTheme="minorEastAsia" w:cstheme="minorHAnsi"/>
                <w:color w:val="4A442A" w:themeColor="background2" w:themeShade="40"/>
                <w:sz w:val="24"/>
                <w:lang w:val="ca-ES"/>
              </w:rPr>
            </w:pPr>
          </w:p>
        </w:tc>
        <w:tc>
          <w:tcPr>
            <w:tcW w:w="8831" w:type="dxa"/>
          </w:tcPr>
          <w:p w:rsidR="002554FA" w:rsidRPr="00917349" w:rsidRDefault="002554FA" w:rsidP="002554FA">
            <w:pPr>
              <w:tabs>
                <w:tab w:val="left" w:pos="1635"/>
              </w:tabs>
              <w:ind w:left="-19" w:firstLine="19"/>
              <w:jc w:val="both"/>
              <w:rPr>
                <w:rFonts w:eastAsiaTheme="minorEastAsia" w:cstheme="minorHAnsi"/>
                <w:b/>
                <w:bCs/>
                <w:color w:val="4A442A" w:themeColor="background2" w:themeShade="40"/>
                <w:sz w:val="20"/>
                <w:lang w:val="ca-ES"/>
              </w:rPr>
            </w:pP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Presentació a l’aeroport 2 hores abans de la sortida del vol. Arribada i trasllat en autocar al centre de la ciutat. Dispose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de l’autocar tot e dia. Dinar lliure. Avui 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us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traslladare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a la part més Est de la ciutat, on veure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el famós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Tower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Bridge i al costat la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Tower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of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London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per fora.  Després, veure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el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London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Bridge i 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us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pod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eu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apropar a la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St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Paul’s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Cathedral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, la més popular de Londres,  construïda al segle XVII, pel pont del Mil·lenni. Tornare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a creuar el riu on trobare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la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Tate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Modern i Shakespeare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Globe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Theatre</w:t>
            </w:r>
            <w:proofErr w:type="spellEnd"/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, per fora. </w:t>
            </w:r>
            <w:r w:rsidR="001A1120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Visita al </w:t>
            </w:r>
            <w:proofErr w:type="spellStart"/>
            <w:r w:rsidR="001A1120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Sky</w:t>
            </w:r>
            <w:proofErr w:type="spellEnd"/>
            <w:r w:rsidR="001A1120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="001A1120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Garden</w:t>
            </w:r>
            <w:proofErr w:type="spellEnd"/>
            <w:r w:rsidR="001A1120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. </w:t>
            </w:r>
            <w:bookmarkStart w:id="61" w:name="_GoBack"/>
            <w:bookmarkEnd w:id="61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A l’hora assenyalada sortida cap el centre de famílies. Arribada i trobada al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meeting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point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amb la coordinadora i les famílies. Presentació i distribució entre les famílies. Sopar i allotjament amb les famílies.</w:t>
            </w:r>
          </w:p>
        </w:tc>
      </w:tr>
      <w:tr w:rsidR="002554FA" w:rsidRPr="004908A9" w:rsidTr="000C440C">
        <w:trPr>
          <w:trHeight w:val="421"/>
        </w:trPr>
        <w:tc>
          <w:tcPr>
            <w:tcW w:w="1114" w:type="dxa"/>
            <w:tcBorders>
              <w:bottom w:val="single" w:sz="4" w:space="0" w:color="4F81BD" w:themeColor="accent1"/>
            </w:tcBorders>
          </w:tcPr>
          <w:p w:rsidR="002554FA" w:rsidRPr="004908A9" w:rsidRDefault="002554FA" w:rsidP="002554FA">
            <w:pPr>
              <w:tabs>
                <w:tab w:val="left" w:pos="1290"/>
              </w:tabs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908A9"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DIA 2</w:t>
            </w:r>
          </w:p>
        </w:tc>
        <w:tc>
          <w:tcPr>
            <w:tcW w:w="8831" w:type="dxa"/>
            <w:tcBorders>
              <w:bottom w:val="single" w:sz="4" w:space="0" w:color="4F81BD" w:themeColor="accent1"/>
            </w:tcBorders>
          </w:tcPr>
          <w:p w:rsidR="002554FA" w:rsidRPr="004908A9" w:rsidRDefault="002554FA" w:rsidP="002554FA">
            <w:pPr>
              <w:tabs>
                <w:tab w:val="left" w:pos="1290"/>
              </w:tabs>
              <w:rPr>
                <w:rFonts w:eastAsiaTheme="minorEastAsia" w:cstheme="minorHAnsi"/>
                <w:color w:val="EE1888"/>
                <w:sz w:val="32"/>
                <w:lang w:val="ca-ES"/>
              </w:rPr>
            </w:pPr>
            <w:r w:rsidRPr="00B464FB"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LONDRES</w:t>
            </w:r>
          </w:p>
        </w:tc>
      </w:tr>
      <w:tr w:rsidR="002554FA" w:rsidRPr="001B29F1" w:rsidTr="000C440C">
        <w:trPr>
          <w:trHeight w:val="1234"/>
        </w:trPr>
        <w:tc>
          <w:tcPr>
            <w:tcW w:w="1114" w:type="dxa"/>
          </w:tcPr>
          <w:p w:rsidR="002554FA" w:rsidRPr="004908A9" w:rsidRDefault="002554FA" w:rsidP="002554FA">
            <w:pPr>
              <w:tabs>
                <w:tab w:val="left" w:pos="1290"/>
              </w:tabs>
              <w:rPr>
                <w:rFonts w:eastAsiaTheme="minorEastAsia" w:cstheme="minorHAnsi"/>
                <w:color w:val="4A442A" w:themeColor="background2" w:themeShade="40"/>
                <w:sz w:val="28"/>
                <w:lang w:val="ca-ES"/>
              </w:rPr>
            </w:pPr>
          </w:p>
        </w:tc>
        <w:tc>
          <w:tcPr>
            <w:tcW w:w="8831" w:type="dxa"/>
          </w:tcPr>
          <w:p w:rsidR="002554FA" w:rsidRPr="00917349" w:rsidRDefault="002554FA" w:rsidP="002554FA">
            <w:pPr>
              <w:tabs>
                <w:tab w:val="left" w:pos="1290"/>
              </w:tabs>
              <w:jc w:val="both"/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</w:pPr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Esmorzar amb les famílies i recollida del dinar pícnic. Trobada al </w:t>
            </w:r>
            <w:proofErr w:type="spellStart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meeting</w:t>
            </w:r>
            <w:proofErr w:type="spellEnd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point</w:t>
            </w:r>
            <w:proofErr w:type="spellEnd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 amb la resta del grup. Començare</w:t>
            </w:r>
            <w:r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 la visita anant cap a </w:t>
            </w:r>
            <w:proofErr w:type="spellStart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Westminster</w:t>
            </w:r>
            <w:proofErr w:type="spellEnd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Abbey</w:t>
            </w:r>
            <w:proofErr w:type="spellEnd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, després veure</w:t>
            </w:r>
            <w:r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 les </w:t>
            </w:r>
            <w:proofErr w:type="spellStart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Houses</w:t>
            </w:r>
            <w:proofErr w:type="spellEnd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 of </w:t>
            </w:r>
            <w:proofErr w:type="spellStart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Parliament</w:t>
            </w:r>
            <w:proofErr w:type="spellEnd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 i el Bi</w:t>
            </w:r>
            <w:r w:rsidR="00BA7CEB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g Ben. </w:t>
            </w:r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 A les 11h anire</w:t>
            </w:r>
            <w:r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 cap a </w:t>
            </w:r>
            <w:proofErr w:type="spellStart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Buckingham</w:t>
            </w:r>
            <w:proofErr w:type="spellEnd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Palace</w:t>
            </w:r>
            <w:proofErr w:type="spellEnd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, on a les 11:30h fan el canvi de Guàrdia (a confirmar). Temps lliure a Sant James </w:t>
            </w:r>
            <w:proofErr w:type="spellStart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Park</w:t>
            </w:r>
            <w:proofErr w:type="spellEnd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, que pode</w:t>
            </w:r>
            <w:r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 aprofitar per dinar un entrepà. A la tarda </w:t>
            </w:r>
            <w:proofErr w:type="spellStart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pujare</w:t>
            </w:r>
            <w:r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per</w:t>
            </w:r>
            <w:proofErr w:type="spellEnd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Whitehall</w:t>
            </w:r>
            <w:proofErr w:type="spellEnd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 fins a Trafalgar </w:t>
            </w:r>
            <w:proofErr w:type="spellStart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Square</w:t>
            </w:r>
            <w:proofErr w:type="spellEnd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 i visitare</w:t>
            </w:r>
            <w:r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 la </w:t>
            </w:r>
            <w:proofErr w:type="spellStart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National</w:t>
            </w:r>
            <w:proofErr w:type="spellEnd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Gallery</w:t>
            </w:r>
            <w:proofErr w:type="spellEnd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. Acabada la visita passejarem per Leicester </w:t>
            </w:r>
            <w:proofErr w:type="spellStart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Square</w:t>
            </w:r>
            <w:proofErr w:type="spellEnd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, fins arribar al </w:t>
            </w:r>
            <w:proofErr w:type="spellStart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Covent</w:t>
            </w:r>
            <w:proofErr w:type="spellEnd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Garden</w:t>
            </w:r>
            <w:proofErr w:type="spellEnd"/>
            <w:r w:rsidRPr="00917349">
              <w:rPr>
                <w:rFonts w:eastAsiaTheme="minorEastAsia" w:cstheme="minorHAnsi"/>
                <w:color w:val="4A442A" w:themeColor="background2" w:themeShade="40"/>
                <w:sz w:val="20"/>
                <w:lang w:val="ca-ES"/>
              </w:rPr>
              <w:t>. Sopar i allotjament amb les famílies.</w:t>
            </w:r>
          </w:p>
        </w:tc>
      </w:tr>
      <w:tr w:rsidR="002554FA" w:rsidRPr="00EE07FF" w:rsidTr="00921EEA">
        <w:trPr>
          <w:trHeight w:val="421"/>
        </w:trPr>
        <w:tc>
          <w:tcPr>
            <w:tcW w:w="1114" w:type="dxa"/>
            <w:tcBorders>
              <w:bottom w:val="single" w:sz="4" w:space="0" w:color="4F81BD" w:themeColor="accent1"/>
            </w:tcBorders>
          </w:tcPr>
          <w:p w:rsidR="002554FA" w:rsidRPr="004908A9" w:rsidRDefault="002554FA" w:rsidP="002554FA">
            <w:pPr>
              <w:tabs>
                <w:tab w:val="left" w:pos="1290"/>
              </w:tabs>
              <w:rPr>
                <w:rFonts w:eastAsiaTheme="minorEastAsia" w:cstheme="minorHAnsi"/>
                <w:color w:val="EE1888"/>
                <w:sz w:val="32"/>
                <w:lang w:val="ca-ES"/>
              </w:rPr>
            </w:pPr>
            <w:r w:rsidRPr="004908A9"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DIA 3</w:t>
            </w:r>
          </w:p>
        </w:tc>
        <w:tc>
          <w:tcPr>
            <w:tcW w:w="8831" w:type="dxa"/>
            <w:tcBorders>
              <w:bottom w:val="single" w:sz="4" w:space="0" w:color="4F81BD" w:themeColor="accent1"/>
            </w:tcBorders>
          </w:tcPr>
          <w:p w:rsidR="002554FA" w:rsidRPr="004908A9" w:rsidRDefault="002554FA" w:rsidP="002554FA">
            <w:pPr>
              <w:tabs>
                <w:tab w:val="left" w:pos="1290"/>
              </w:tabs>
              <w:rPr>
                <w:rFonts w:eastAsiaTheme="minorEastAsia" w:cstheme="minorHAnsi"/>
                <w:color w:val="EE1888"/>
                <w:sz w:val="32"/>
                <w:lang w:val="ca-ES"/>
              </w:rPr>
            </w:pPr>
            <w:r w:rsidRPr="00B464FB"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LONDRES</w:t>
            </w:r>
          </w:p>
        </w:tc>
      </w:tr>
      <w:tr w:rsidR="002554FA" w:rsidRPr="00AC3D2F" w:rsidTr="00921EEA">
        <w:trPr>
          <w:trHeight w:val="914"/>
        </w:trPr>
        <w:tc>
          <w:tcPr>
            <w:tcW w:w="1114" w:type="dxa"/>
          </w:tcPr>
          <w:p w:rsidR="002554FA" w:rsidRPr="004908A9" w:rsidRDefault="002554FA" w:rsidP="002554FA">
            <w:pPr>
              <w:tabs>
                <w:tab w:val="left" w:pos="1290"/>
              </w:tabs>
              <w:rPr>
                <w:rFonts w:eastAsiaTheme="minorEastAsia" w:cstheme="minorHAnsi"/>
                <w:color w:val="4A442A" w:themeColor="background2" w:themeShade="40"/>
                <w:sz w:val="28"/>
                <w:lang w:val="ca-ES"/>
              </w:rPr>
            </w:pPr>
          </w:p>
        </w:tc>
        <w:tc>
          <w:tcPr>
            <w:tcW w:w="8831" w:type="dxa"/>
          </w:tcPr>
          <w:p w:rsidR="002554FA" w:rsidRPr="00917349" w:rsidRDefault="002554FA" w:rsidP="002554FA">
            <w:pPr>
              <w:tabs>
                <w:tab w:val="left" w:pos="1290"/>
              </w:tabs>
              <w:jc w:val="both"/>
              <w:rPr>
                <w:sz w:val="20"/>
                <w:lang w:val="ca-ES"/>
              </w:rPr>
            </w:pP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Esmorzar amb les famílies i recollida del dinar pícnic. Trobada al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meeting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point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amb la resta del grup. Aquest matí visitare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el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British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Museum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. Acabada la visita ens dirigire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cap a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Regent’s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Park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on podre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dinar un entrepà.  Tarda passejant per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Camden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Town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, mercat mundialment conegut, on es pot trobar tot tipus d’objectes extravagants i de personatges al carrer. Passejada per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Oxford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Street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, 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Picaddilly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Circus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i Leicester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Square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. Sopar i allotjament amb les famílies.</w:t>
            </w:r>
          </w:p>
        </w:tc>
      </w:tr>
      <w:tr w:rsidR="002554FA" w:rsidRPr="00EE07FF" w:rsidTr="000C440C">
        <w:trPr>
          <w:trHeight w:val="421"/>
        </w:trPr>
        <w:tc>
          <w:tcPr>
            <w:tcW w:w="1114" w:type="dxa"/>
            <w:tcBorders>
              <w:bottom w:val="single" w:sz="4" w:space="0" w:color="4F81BD" w:themeColor="accent1"/>
            </w:tcBorders>
          </w:tcPr>
          <w:p w:rsidR="002554FA" w:rsidRPr="004908A9" w:rsidRDefault="002554FA" w:rsidP="002554FA">
            <w:pPr>
              <w:tabs>
                <w:tab w:val="left" w:pos="1290"/>
              </w:tabs>
              <w:rPr>
                <w:rFonts w:eastAsiaTheme="minorEastAsia" w:cstheme="minorHAnsi"/>
                <w:color w:val="EE1888"/>
                <w:sz w:val="32"/>
                <w:lang w:val="ca-ES"/>
              </w:rPr>
            </w:pPr>
            <w:r w:rsidRPr="004908A9"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DIA </w:t>
            </w:r>
            <w:r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8831" w:type="dxa"/>
            <w:tcBorders>
              <w:bottom w:val="single" w:sz="4" w:space="0" w:color="4F81BD" w:themeColor="accent1"/>
            </w:tcBorders>
          </w:tcPr>
          <w:p w:rsidR="002554FA" w:rsidRPr="004908A9" w:rsidRDefault="002554FA" w:rsidP="002554FA">
            <w:pPr>
              <w:tabs>
                <w:tab w:val="left" w:pos="1290"/>
              </w:tabs>
              <w:rPr>
                <w:rFonts w:eastAsiaTheme="minorEastAsia" w:cstheme="minorHAnsi"/>
                <w:color w:val="EE1888"/>
                <w:sz w:val="32"/>
                <w:lang w:val="ca-ES"/>
              </w:rPr>
            </w:pPr>
            <w:r w:rsidRPr="00B464FB"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LONDRES</w:t>
            </w:r>
          </w:p>
        </w:tc>
      </w:tr>
      <w:tr w:rsidR="002554FA" w:rsidRPr="003B6266" w:rsidTr="000C440C">
        <w:trPr>
          <w:trHeight w:val="914"/>
        </w:trPr>
        <w:tc>
          <w:tcPr>
            <w:tcW w:w="1114" w:type="dxa"/>
          </w:tcPr>
          <w:p w:rsidR="002554FA" w:rsidRPr="004908A9" w:rsidRDefault="002554FA" w:rsidP="002554FA">
            <w:pPr>
              <w:tabs>
                <w:tab w:val="left" w:pos="1290"/>
              </w:tabs>
              <w:rPr>
                <w:rFonts w:eastAsiaTheme="minorEastAsia" w:cstheme="minorHAnsi"/>
                <w:color w:val="4A442A" w:themeColor="background2" w:themeShade="40"/>
                <w:sz w:val="28"/>
                <w:lang w:val="ca-ES"/>
              </w:rPr>
            </w:pPr>
          </w:p>
        </w:tc>
        <w:tc>
          <w:tcPr>
            <w:tcW w:w="8831" w:type="dxa"/>
          </w:tcPr>
          <w:p w:rsidR="002554FA" w:rsidRPr="00917349" w:rsidRDefault="002554FA" w:rsidP="002554FA">
            <w:pPr>
              <w:tabs>
                <w:tab w:val="left" w:pos="1290"/>
              </w:tabs>
              <w:jc w:val="both"/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</w:pP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Esmorzar amb les famílies i recollida del dinar pícnic. Trobada al Meeting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point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. Sortida amb transport públic cap el centre.</w:t>
            </w:r>
          </w:p>
          <w:p w:rsidR="002554FA" w:rsidRPr="00917349" w:rsidRDefault="002554FA" w:rsidP="002554FA">
            <w:pPr>
              <w:tabs>
                <w:tab w:val="left" w:pos="1290"/>
              </w:tabs>
              <w:jc w:val="both"/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</w:pP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Acabare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el viatge visitant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Hyde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Park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, un dels parcs més grans d’Anglaterra. Veure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Kensington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Gardens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, zona on viu gran part de la classe alta de la societat londinenca,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Kensington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Palace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, passejar a la vora del riu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Serpentine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, Speakers’ Corner, i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Marble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Arch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, entre d’altres racons de gran atractiu paisatgístic. Pode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dinar el pícnic en el parc.</w:t>
            </w:r>
          </w:p>
          <w:p w:rsidR="002554FA" w:rsidRPr="00917349" w:rsidRDefault="002554FA" w:rsidP="002554FA">
            <w:pPr>
              <w:tabs>
                <w:tab w:val="left" w:pos="1290"/>
              </w:tabs>
              <w:jc w:val="both"/>
              <w:rPr>
                <w:sz w:val="20"/>
                <w:lang w:val="ca-ES"/>
              </w:rPr>
            </w:pP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Tarda aprofitare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per visitar el Natural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History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Museum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amb la seva fascinant col·lecció d’esquelets de balena o meteorits, el V&amp;A de disseny o el Museu de la Ciència amb el cinema IMAX. Pode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entrar als famosos magatzems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Harrod’s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. Trasllat en transport públic al centre de famílies. Sopar i allotjament amb les famílies.</w:t>
            </w:r>
          </w:p>
        </w:tc>
      </w:tr>
      <w:tr w:rsidR="002554FA" w:rsidRPr="003B6266" w:rsidTr="000C440C">
        <w:trPr>
          <w:trHeight w:val="421"/>
        </w:trPr>
        <w:tc>
          <w:tcPr>
            <w:tcW w:w="1114" w:type="dxa"/>
            <w:tcBorders>
              <w:bottom w:val="single" w:sz="4" w:space="0" w:color="4F81BD" w:themeColor="accent1"/>
            </w:tcBorders>
          </w:tcPr>
          <w:p w:rsidR="002554FA" w:rsidRPr="004908A9" w:rsidRDefault="00BA7CEB" w:rsidP="002554FA">
            <w:pPr>
              <w:tabs>
                <w:tab w:val="left" w:pos="1290"/>
              </w:tabs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DIA 5</w:t>
            </w:r>
          </w:p>
        </w:tc>
        <w:tc>
          <w:tcPr>
            <w:tcW w:w="8831" w:type="dxa"/>
            <w:tcBorders>
              <w:bottom w:val="single" w:sz="4" w:space="0" w:color="4F81BD" w:themeColor="accent1"/>
            </w:tcBorders>
          </w:tcPr>
          <w:p w:rsidR="002554FA" w:rsidRPr="004908A9" w:rsidRDefault="002554FA" w:rsidP="002554FA">
            <w:pPr>
              <w:tabs>
                <w:tab w:val="left" w:pos="1290"/>
              </w:tabs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4FB"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LONDRES</w:t>
            </w:r>
            <w:r w:rsidRPr="00DD7A38"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APT. </w:t>
            </w:r>
            <w:r w:rsidRPr="00B464FB"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LONDRES</w:t>
            </w:r>
            <w:r w:rsidRPr="00DD7A38"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APT. </w:t>
            </w:r>
            <w:r w:rsidRPr="00B45201">
              <w:rPr>
                <w:rFonts w:cstheme="minorHAnsi"/>
                <w:b/>
                <w:color w:val="EE1888"/>
                <w:sz w:val="32"/>
                <w:szCs w:val="60"/>
                <w:lang w:val="ca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BARCELONA</w:t>
            </w:r>
          </w:p>
        </w:tc>
      </w:tr>
      <w:tr w:rsidR="002554FA" w:rsidRPr="004908A9" w:rsidTr="00A16FF4">
        <w:trPr>
          <w:trHeight w:val="675"/>
        </w:trPr>
        <w:tc>
          <w:tcPr>
            <w:tcW w:w="1114" w:type="dxa"/>
          </w:tcPr>
          <w:p w:rsidR="002554FA" w:rsidRPr="00A16FF4" w:rsidRDefault="002554FA" w:rsidP="002554FA">
            <w:pPr>
              <w:tabs>
                <w:tab w:val="left" w:pos="1290"/>
              </w:tabs>
              <w:rPr>
                <w:rFonts w:eastAsiaTheme="minorEastAsia" w:cstheme="minorHAnsi"/>
                <w:bCs/>
                <w:color w:val="4A442A" w:themeColor="background2" w:themeShade="40"/>
                <w:lang w:val="ca-ES"/>
              </w:rPr>
            </w:pPr>
          </w:p>
        </w:tc>
        <w:tc>
          <w:tcPr>
            <w:tcW w:w="8831" w:type="dxa"/>
          </w:tcPr>
          <w:p w:rsidR="002554FA" w:rsidRPr="00917349" w:rsidRDefault="002554FA" w:rsidP="002554FA">
            <w:pPr>
              <w:jc w:val="both"/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</w:pP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Esmorzar i recollida de l’equipatge. Trobada al Meeting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point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i acomiadament de les famílies. Trasllat amb l’autocar fins el centre de la ciutat. Dispose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de l’autocar tot el dia.  Començare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el nostre últim dia a Londres per un dels barris més curiosos de Londres: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Little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Venice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, la concentració de cases vaixell més gran de la ciutat al costat del Union Canal. Pode</w:t>
            </w:r>
            <w:r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u</w:t>
            </w:r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caminar pel canal fins a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Notting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Hill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, al voltant de </w:t>
            </w:r>
            <w:proofErr w:type="spellStart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>Portobello</w:t>
            </w:r>
            <w:proofErr w:type="spellEnd"/>
            <w:r w:rsidRPr="00917349"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  <w:t xml:space="preserve"> i el seu mercat de queviures i antiguitats. Dinar pícnic. Tarda lliure per fer les darreres compres abans de marxar. Trasllat a l’aeroport en autocar. Presentació a l’aeroport 2 hores abans de la sortida del vol. Sortida del vol cap a Barcelona i arribada a l’aeroport del Prat.</w:t>
            </w:r>
          </w:p>
        </w:tc>
      </w:tr>
      <w:tr w:rsidR="00583AB3" w:rsidRPr="004908A9" w:rsidTr="00A16FF4">
        <w:trPr>
          <w:trHeight w:val="675"/>
        </w:trPr>
        <w:tc>
          <w:tcPr>
            <w:tcW w:w="1114" w:type="dxa"/>
          </w:tcPr>
          <w:p w:rsidR="00583AB3" w:rsidRPr="00A16FF4" w:rsidRDefault="00583AB3" w:rsidP="002554FA">
            <w:pPr>
              <w:tabs>
                <w:tab w:val="left" w:pos="1290"/>
              </w:tabs>
              <w:rPr>
                <w:rFonts w:eastAsiaTheme="minorEastAsia" w:cstheme="minorHAnsi"/>
                <w:bCs/>
                <w:color w:val="4A442A" w:themeColor="background2" w:themeShade="40"/>
                <w:lang w:val="ca-ES"/>
              </w:rPr>
            </w:pPr>
          </w:p>
        </w:tc>
        <w:tc>
          <w:tcPr>
            <w:tcW w:w="8831" w:type="dxa"/>
          </w:tcPr>
          <w:p w:rsidR="00583AB3" w:rsidRPr="00917349" w:rsidRDefault="00583AB3" w:rsidP="002554FA">
            <w:pPr>
              <w:jc w:val="both"/>
              <w:rPr>
                <w:rFonts w:eastAsiaTheme="minorEastAsia" w:cstheme="minorHAnsi"/>
                <w:bCs/>
                <w:color w:val="4A442A" w:themeColor="background2" w:themeShade="40"/>
                <w:sz w:val="20"/>
                <w:lang w:val="ca-ES"/>
              </w:rPr>
            </w:pPr>
          </w:p>
        </w:tc>
      </w:tr>
    </w:tbl>
    <w:tbl>
      <w:tblPr>
        <w:tblStyle w:val="Tabladecuadrcula5oscura-nfasis4"/>
        <w:tblW w:w="10064" w:type="dxa"/>
        <w:jc w:val="center"/>
        <w:tblLook w:val="04A0" w:firstRow="1" w:lastRow="0" w:firstColumn="1" w:lastColumn="0" w:noHBand="0" w:noVBand="1"/>
      </w:tblPr>
      <w:tblGrid>
        <w:gridCol w:w="4202"/>
        <w:gridCol w:w="5862"/>
      </w:tblGrid>
      <w:tr w:rsidR="000C440C" w:rsidRPr="004908A9" w:rsidTr="000C4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2" w:type="dxa"/>
            <w:shd w:val="clear" w:color="auto" w:fill="4F81BD" w:themeFill="accent1"/>
          </w:tcPr>
          <w:p w:rsidR="000C440C" w:rsidRPr="004908A9" w:rsidRDefault="00583AB3" w:rsidP="00583AB3">
            <w:pPr>
              <w:tabs>
                <w:tab w:val="left" w:pos="1248"/>
                <w:tab w:val="left" w:pos="1665"/>
              </w:tabs>
              <w:ind w:left="313" w:hanging="313"/>
              <w:rPr>
                <w:noProof/>
                <w:sz w:val="32"/>
                <w:szCs w:val="28"/>
                <w:lang w:val="ca-ES" w:eastAsia="es-419"/>
              </w:rPr>
            </w:pPr>
            <w:r>
              <w:rPr>
                <w:noProof/>
                <w:sz w:val="32"/>
                <w:szCs w:val="28"/>
                <w:lang w:val="ca-ES" w:eastAsia="es-419"/>
              </w:rPr>
              <w:tab/>
            </w:r>
            <w:r>
              <w:rPr>
                <w:noProof/>
                <w:sz w:val="32"/>
                <w:szCs w:val="28"/>
                <w:lang w:val="ca-ES" w:eastAsia="es-419"/>
              </w:rPr>
              <w:tab/>
              <w:t>PAGAMENTS</w:t>
            </w:r>
          </w:p>
        </w:tc>
        <w:tc>
          <w:tcPr>
            <w:tcW w:w="5862" w:type="dxa"/>
            <w:shd w:val="clear" w:color="auto" w:fill="EE1888"/>
          </w:tcPr>
          <w:p w:rsidR="000C440C" w:rsidRPr="00753DB4" w:rsidRDefault="00483A9E" w:rsidP="00483A9E">
            <w:pPr>
              <w:tabs>
                <w:tab w:val="left" w:pos="75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32"/>
                <w:szCs w:val="28"/>
                <w:lang w:val="ca-ES" w:eastAsia="es-419"/>
              </w:rPr>
            </w:pPr>
            <w:r>
              <w:rPr>
                <w:noProof/>
                <w:sz w:val="32"/>
                <w:szCs w:val="28"/>
                <w:lang w:val="ca-ES" w:eastAsia="es-419"/>
              </w:rPr>
              <w:tab/>
              <w:t>REUNIÓ INFORMATIVA</w:t>
            </w:r>
          </w:p>
        </w:tc>
      </w:tr>
    </w:tbl>
    <w:p w:rsidR="00AB60CB" w:rsidRDefault="00AB60CB" w:rsidP="0078166F">
      <w:pPr>
        <w:spacing w:after="0"/>
        <w:jc w:val="both"/>
        <w:rPr>
          <w:noProof/>
          <w:lang w:val="ca-ES" w:eastAsia="es-419"/>
        </w:rPr>
      </w:pPr>
    </w:p>
    <w:p w:rsidR="00583AB3" w:rsidRPr="00583AB3" w:rsidRDefault="00583AB3" w:rsidP="0078166F">
      <w:pPr>
        <w:spacing w:after="0"/>
        <w:jc w:val="both"/>
        <w:rPr>
          <w:noProof/>
          <w:sz w:val="24"/>
          <w:szCs w:val="24"/>
          <w:lang w:val="ca-ES" w:eastAsia="es-419"/>
        </w:rPr>
      </w:pPr>
      <w:r w:rsidRPr="00583AB3">
        <w:rPr>
          <w:noProof/>
          <w:sz w:val="24"/>
          <w:szCs w:val="24"/>
          <w:lang w:val="ca-ES" w:eastAsia="es-419"/>
        </w:rPr>
        <w:t>RESERVA DEL VIATGE: 90€   JA REALITZADA</w:t>
      </w:r>
    </w:p>
    <w:p w:rsidR="00583AB3" w:rsidRPr="00583AB3" w:rsidRDefault="00583AB3" w:rsidP="0078166F">
      <w:pPr>
        <w:spacing w:after="0"/>
        <w:jc w:val="both"/>
        <w:rPr>
          <w:b/>
          <w:noProof/>
          <w:sz w:val="24"/>
          <w:szCs w:val="24"/>
          <w:lang w:val="ca-ES" w:eastAsia="es-419"/>
        </w:rPr>
      </w:pPr>
    </w:p>
    <w:p w:rsidR="00583AB3" w:rsidRPr="00583AB3" w:rsidRDefault="00583AB3" w:rsidP="0078166F">
      <w:pPr>
        <w:spacing w:after="0"/>
        <w:jc w:val="both"/>
        <w:rPr>
          <w:b/>
          <w:noProof/>
          <w:sz w:val="24"/>
          <w:szCs w:val="24"/>
          <w:lang w:val="ca-ES" w:eastAsia="es-419"/>
        </w:rPr>
      </w:pPr>
      <w:r w:rsidRPr="00583AB3">
        <w:rPr>
          <w:b/>
          <w:noProof/>
          <w:sz w:val="24"/>
          <w:szCs w:val="24"/>
          <w:lang w:val="ca-ES" w:eastAsia="es-419"/>
        </w:rPr>
        <w:t>PAGAMENTS PENDENTS:</w:t>
      </w:r>
    </w:p>
    <w:p w:rsidR="00583AB3" w:rsidRPr="00583AB3" w:rsidRDefault="00583AB3" w:rsidP="00583AB3">
      <w:pPr>
        <w:pStyle w:val="Prrafodelista"/>
        <w:numPr>
          <w:ilvl w:val="0"/>
          <w:numId w:val="15"/>
        </w:numPr>
        <w:spacing w:after="0"/>
        <w:jc w:val="both"/>
        <w:rPr>
          <w:b/>
          <w:noProof/>
          <w:sz w:val="24"/>
          <w:szCs w:val="24"/>
          <w:lang w:val="ca-ES" w:eastAsia="es-419"/>
        </w:rPr>
      </w:pPr>
      <w:r w:rsidRPr="00583AB3">
        <w:rPr>
          <w:b/>
          <w:noProof/>
          <w:sz w:val="24"/>
          <w:szCs w:val="24"/>
          <w:lang w:val="ca-ES" w:eastAsia="es-419"/>
        </w:rPr>
        <w:t>FINS EL 4 DE NOVEMBRE:    195€</w:t>
      </w:r>
    </w:p>
    <w:p w:rsidR="00583AB3" w:rsidRDefault="00483A9E" w:rsidP="00583AB3">
      <w:pPr>
        <w:pStyle w:val="Prrafodelista"/>
        <w:numPr>
          <w:ilvl w:val="0"/>
          <w:numId w:val="15"/>
        </w:numPr>
        <w:spacing w:after="0"/>
        <w:jc w:val="both"/>
        <w:rPr>
          <w:b/>
          <w:noProof/>
          <w:sz w:val="24"/>
          <w:szCs w:val="24"/>
          <w:lang w:val="ca-ES" w:eastAsia="es-419"/>
        </w:rPr>
      </w:pPr>
      <w:r>
        <w:rPr>
          <w:b/>
          <w:noProof/>
          <w:sz w:val="24"/>
          <w:szCs w:val="24"/>
          <w:lang w:val="ca-ES" w:eastAsia="es-419"/>
        </w:rPr>
        <w:t>FINS EL 10</w:t>
      </w:r>
      <w:r w:rsidR="00583AB3" w:rsidRPr="00583AB3">
        <w:rPr>
          <w:b/>
          <w:noProof/>
          <w:sz w:val="24"/>
          <w:szCs w:val="24"/>
          <w:lang w:val="ca-ES" w:eastAsia="es-419"/>
        </w:rPr>
        <w:t xml:space="preserve"> DE DESEMBRE: 200€</w:t>
      </w:r>
    </w:p>
    <w:p w:rsidR="00483A9E" w:rsidRPr="00583AB3" w:rsidRDefault="00483A9E" w:rsidP="00483A9E">
      <w:pPr>
        <w:pStyle w:val="Prrafodelista"/>
        <w:spacing w:after="0"/>
        <w:jc w:val="both"/>
        <w:rPr>
          <w:b/>
          <w:noProof/>
          <w:sz w:val="24"/>
          <w:szCs w:val="24"/>
          <w:lang w:val="ca-ES" w:eastAsia="es-419"/>
        </w:rPr>
      </w:pPr>
      <w:r>
        <w:rPr>
          <w:b/>
          <w:noProof/>
          <w:sz w:val="24"/>
          <w:szCs w:val="24"/>
          <w:lang w:val="ca-ES" w:eastAsia="es-419"/>
        </w:rPr>
        <w:t>REUNIÓ INFORMATIVA. DIMARTS 10 DE DESEMBRE A LES 18:30h</w:t>
      </w:r>
    </w:p>
    <w:sectPr w:rsidR="00483A9E" w:rsidRPr="00583AB3" w:rsidSect="003B6266">
      <w:headerReference w:type="default" r:id="rId11"/>
      <w:headerReference w:type="first" r:id="rId12"/>
      <w:pgSz w:w="11906" w:h="16838"/>
      <w:pgMar w:top="720" w:right="1133" w:bottom="720" w:left="720" w:header="284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E81" w:rsidRDefault="007E6E81" w:rsidP="00716C5C">
      <w:pPr>
        <w:spacing w:after="0" w:line="240" w:lineRule="auto"/>
      </w:pPr>
      <w:r>
        <w:separator/>
      </w:r>
    </w:p>
  </w:endnote>
  <w:endnote w:type="continuationSeparator" w:id="0">
    <w:p w:rsidR="007E6E81" w:rsidRDefault="007E6E81" w:rsidP="0071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E81" w:rsidRDefault="007E6E81" w:rsidP="00716C5C">
      <w:pPr>
        <w:spacing w:after="0" w:line="240" w:lineRule="auto"/>
      </w:pPr>
      <w:r>
        <w:separator/>
      </w:r>
    </w:p>
  </w:footnote>
  <w:footnote w:type="continuationSeparator" w:id="0">
    <w:p w:rsidR="007E6E81" w:rsidRDefault="007E6E81" w:rsidP="00716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829" w:rsidRPr="008D0898" w:rsidRDefault="006637F0" w:rsidP="008D0898">
    <w:pPr>
      <w:jc w:val="right"/>
      <w:rPr>
        <w:color w:val="EE1888"/>
        <w:lang w:val="fr-BE"/>
      </w:rPr>
    </w:pPr>
    <w:r>
      <w:rPr>
        <w:b/>
        <w:color w:val="EE1888"/>
        <w:sz w:val="18"/>
        <w:lang w:val="fr-BE"/>
      </w:rPr>
      <w:t>TEMPORADA 2019-20</w:t>
    </w:r>
    <w:r w:rsidR="008D0898">
      <w:rPr>
        <w:b/>
        <w:color w:val="EE1888"/>
        <w:sz w:val="18"/>
        <w:lang w:val="fr-BE"/>
      </w:rPr>
      <w:tab/>
    </w:r>
    <w:r w:rsidR="008D0898">
      <w:rPr>
        <w:b/>
        <w:color w:val="EE1888"/>
        <w:sz w:val="18"/>
        <w:lang w:val="fr-BE"/>
      </w:rPr>
      <w:tab/>
    </w:r>
    <w:r w:rsidR="008D0898">
      <w:rPr>
        <w:b/>
        <w:color w:val="EE1888"/>
        <w:sz w:val="18"/>
        <w:lang w:val="fr-BE"/>
      </w:rPr>
      <w:tab/>
    </w:r>
    <w:r w:rsidR="008D0898">
      <w:rPr>
        <w:b/>
        <w:color w:val="EE1888"/>
        <w:sz w:val="18"/>
        <w:lang w:val="fr-BE"/>
      </w:rPr>
      <w:tab/>
    </w:r>
    <w:r w:rsidR="008D0898">
      <w:rPr>
        <w:b/>
        <w:color w:val="EE1888"/>
        <w:sz w:val="18"/>
        <w:lang w:val="fr-BE"/>
      </w:rPr>
      <w:tab/>
    </w:r>
    <w:r w:rsidR="008D0898">
      <w:rPr>
        <w:b/>
        <w:color w:val="EE1888"/>
        <w:sz w:val="18"/>
        <w:lang w:val="fr-BE"/>
      </w:rPr>
      <w:tab/>
    </w:r>
    <w:r w:rsidR="008D0898" w:rsidRPr="00521D3A">
      <w:rPr>
        <w:b/>
        <w:color w:val="EE1888"/>
        <w:sz w:val="18"/>
        <w:lang w:val="fr-BE"/>
      </w:rPr>
      <w:t>VIATGES CUM LAUDE, EXCELLENCE IN STUDENT TRAVELS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F5D" w:rsidRPr="00521D3A" w:rsidRDefault="007014FF" w:rsidP="003B626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10053"/>
      </w:tabs>
      <w:rPr>
        <w:color w:val="EE1888"/>
        <w:lang w:val="fr-BE"/>
      </w:rPr>
    </w:pPr>
    <w:r>
      <w:rPr>
        <w:b/>
        <w:color w:val="EE1888"/>
        <w:sz w:val="18"/>
        <w:lang w:val="fr-BE"/>
      </w:rPr>
      <w:t>TEMPORADA 201</w:t>
    </w:r>
    <w:r w:rsidR="00430EC9">
      <w:rPr>
        <w:b/>
        <w:color w:val="EE1888"/>
        <w:sz w:val="18"/>
        <w:lang w:val="fr-BE"/>
      </w:rPr>
      <w:t>9</w:t>
    </w:r>
    <w:r>
      <w:rPr>
        <w:b/>
        <w:color w:val="EE1888"/>
        <w:sz w:val="18"/>
        <w:lang w:val="fr-BE"/>
      </w:rPr>
      <w:t>-</w:t>
    </w:r>
    <w:r w:rsidR="00430EC9">
      <w:rPr>
        <w:b/>
        <w:color w:val="EE1888"/>
        <w:sz w:val="18"/>
        <w:lang w:val="fr-BE"/>
      </w:rPr>
      <w:t>20</w:t>
    </w:r>
    <w:r>
      <w:rPr>
        <w:b/>
        <w:color w:val="EE1888"/>
        <w:sz w:val="18"/>
        <w:lang w:val="fr-BE"/>
      </w:rPr>
      <w:tab/>
    </w:r>
    <w:r>
      <w:rPr>
        <w:b/>
        <w:color w:val="EE1888"/>
        <w:sz w:val="18"/>
        <w:lang w:val="fr-BE"/>
      </w:rPr>
      <w:tab/>
    </w:r>
    <w:r>
      <w:rPr>
        <w:b/>
        <w:color w:val="EE1888"/>
        <w:sz w:val="18"/>
        <w:lang w:val="fr-BE"/>
      </w:rPr>
      <w:tab/>
    </w:r>
    <w:r>
      <w:rPr>
        <w:b/>
        <w:color w:val="EE1888"/>
        <w:sz w:val="18"/>
        <w:lang w:val="fr-BE"/>
      </w:rPr>
      <w:tab/>
    </w:r>
    <w:r>
      <w:rPr>
        <w:b/>
        <w:color w:val="EE1888"/>
        <w:sz w:val="18"/>
        <w:lang w:val="fr-BE"/>
      </w:rPr>
      <w:tab/>
    </w:r>
    <w:r>
      <w:rPr>
        <w:b/>
        <w:color w:val="EE1888"/>
        <w:sz w:val="18"/>
        <w:lang w:val="fr-BE"/>
      </w:rPr>
      <w:tab/>
    </w:r>
    <w:r w:rsidR="003B6266">
      <w:rPr>
        <w:b/>
        <w:color w:val="EE1888"/>
        <w:sz w:val="18"/>
        <w:lang w:val="fr-BE"/>
      </w:rPr>
      <w:tab/>
    </w:r>
    <w:r w:rsidR="003B6266">
      <w:rPr>
        <w:noProof/>
        <w:color w:val="EE1888"/>
        <w:lang w:val="ca-ES" w:eastAsia="ca-ES"/>
      </w:rPr>
      <w:drawing>
        <wp:inline distT="0" distB="0" distL="0" distR="0">
          <wp:extent cx="1089661" cy="371475"/>
          <wp:effectExtent l="0" t="0" r="0" b="9525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UM LAU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678" cy="389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60F2"/>
    <w:multiLevelType w:val="hybridMultilevel"/>
    <w:tmpl w:val="FDBA5274"/>
    <w:lvl w:ilvl="0" w:tplc="68C4B8E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134A"/>
    <w:multiLevelType w:val="hybridMultilevel"/>
    <w:tmpl w:val="B3E29238"/>
    <w:lvl w:ilvl="0" w:tplc="7AFC7CCC">
      <w:start w:val="20"/>
      <w:numFmt w:val="bullet"/>
      <w:lvlText w:val="-"/>
      <w:lvlJc w:val="left"/>
      <w:pPr>
        <w:ind w:left="1770" w:hanging="360"/>
      </w:pPr>
      <w:rPr>
        <w:rFonts w:ascii="Calibri Light" w:eastAsiaTheme="minorEastAsia" w:hAnsi="Calibri Light" w:cs="Calibri Light" w:hint="default"/>
      </w:rPr>
    </w:lvl>
    <w:lvl w:ilvl="1" w:tplc="58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9D9027D"/>
    <w:multiLevelType w:val="hybridMultilevel"/>
    <w:tmpl w:val="57302E8A"/>
    <w:lvl w:ilvl="0" w:tplc="68C4B8E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6954"/>
    <w:multiLevelType w:val="hybridMultilevel"/>
    <w:tmpl w:val="2AE2723C"/>
    <w:lvl w:ilvl="0" w:tplc="DBDAD9E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5E36"/>
    <w:multiLevelType w:val="hybridMultilevel"/>
    <w:tmpl w:val="F4340756"/>
    <w:lvl w:ilvl="0" w:tplc="68C4B8E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27F8"/>
    <w:multiLevelType w:val="hybridMultilevel"/>
    <w:tmpl w:val="41666022"/>
    <w:lvl w:ilvl="0" w:tplc="A5D697E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85E1F"/>
    <w:multiLevelType w:val="hybridMultilevel"/>
    <w:tmpl w:val="11E4CE64"/>
    <w:lvl w:ilvl="0" w:tplc="5D4EF9B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62D17"/>
    <w:multiLevelType w:val="hybridMultilevel"/>
    <w:tmpl w:val="4AEA4F2E"/>
    <w:lvl w:ilvl="0" w:tplc="A5D697E6">
      <w:start w:val="1"/>
      <w:numFmt w:val="bullet"/>
      <w:lvlText w:val=""/>
      <w:lvlJc w:val="left"/>
      <w:pPr>
        <w:ind w:left="796" w:hanging="360"/>
      </w:pPr>
      <w:rPr>
        <w:rFonts w:ascii="Wingdings" w:hAnsi="Wingdings" w:hint="default"/>
        <w:color w:val="0070C0"/>
      </w:rPr>
    </w:lvl>
    <w:lvl w:ilvl="1" w:tplc="58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4F890AA6"/>
    <w:multiLevelType w:val="hybridMultilevel"/>
    <w:tmpl w:val="4AC02BD2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B6EF4"/>
    <w:multiLevelType w:val="hybridMultilevel"/>
    <w:tmpl w:val="E70C6FE8"/>
    <w:lvl w:ilvl="0" w:tplc="21AE8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D4E9C"/>
    <w:multiLevelType w:val="hybridMultilevel"/>
    <w:tmpl w:val="E0522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E6B42"/>
    <w:multiLevelType w:val="hybridMultilevel"/>
    <w:tmpl w:val="1824836A"/>
    <w:lvl w:ilvl="0" w:tplc="68C4B8E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32491"/>
    <w:multiLevelType w:val="hybridMultilevel"/>
    <w:tmpl w:val="DA44DCEC"/>
    <w:lvl w:ilvl="0" w:tplc="0B065708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HAnsi"/>
        <w:color w:val="000000" w:themeColor="text1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71D15"/>
    <w:multiLevelType w:val="hybridMultilevel"/>
    <w:tmpl w:val="62FA69D8"/>
    <w:lvl w:ilvl="0" w:tplc="68C4B8E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32A5F"/>
    <w:multiLevelType w:val="hybridMultilevel"/>
    <w:tmpl w:val="E58482C2"/>
    <w:lvl w:ilvl="0" w:tplc="9A8ED0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1"/>
  </w:num>
  <w:num w:numId="7">
    <w:abstractNumId w:val="10"/>
  </w:num>
  <w:num w:numId="8">
    <w:abstractNumId w:val="4"/>
  </w:num>
  <w:num w:numId="9">
    <w:abstractNumId w:val="12"/>
  </w:num>
  <w:num w:numId="10">
    <w:abstractNumId w:val="13"/>
  </w:num>
  <w:num w:numId="11">
    <w:abstractNumId w:val="1"/>
  </w:num>
  <w:num w:numId="12">
    <w:abstractNumId w:val="14"/>
  </w:num>
  <w:num w:numId="13">
    <w:abstractNumId w:val="7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9A"/>
    <w:rsid w:val="00002450"/>
    <w:rsid w:val="00020034"/>
    <w:rsid w:val="00021F52"/>
    <w:rsid w:val="00024ADA"/>
    <w:rsid w:val="00034499"/>
    <w:rsid w:val="00061CAF"/>
    <w:rsid w:val="00074DDE"/>
    <w:rsid w:val="00077A32"/>
    <w:rsid w:val="00080A6F"/>
    <w:rsid w:val="000B14F7"/>
    <w:rsid w:val="000B703E"/>
    <w:rsid w:val="000C440C"/>
    <w:rsid w:val="00112D82"/>
    <w:rsid w:val="001163BE"/>
    <w:rsid w:val="00125494"/>
    <w:rsid w:val="00136E72"/>
    <w:rsid w:val="00142F63"/>
    <w:rsid w:val="001522F4"/>
    <w:rsid w:val="00161D0F"/>
    <w:rsid w:val="00197990"/>
    <w:rsid w:val="001A1120"/>
    <w:rsid w:val="001B29F1"/>
    <w:rsid w:val="001D6A76"/>
    <w:rsid w:val="002040D7"/>
    <w:rsid w:val="002275CA"/>
    <w:rsid w:val="0025063D"/>
    <w:rsid w:val="00251C09"/>
    <w:rsid w:val="002554FA"/>
    <w:rsid w:val="00277829"/>
    <w:rsid w:val="002B269F"/>
    <w:rsid w:val="002B2DB1"/>
    <w:rsid w:val="002B31F0"/>
    <w:rsid w:val="002D0B37"/>
    <w:rsid w:val="002D3789"/>
    <w:rsid w:val="002D4657"/>
    <w:rsid w:val="002F4231"/>
    <w:rsid w:val="0030230C"/>
    <w:rsid w:val="00327E4B"/>
    <w:rsid w:val="0034670E"/>
    <w:rsid w:val="00396C16"/>
    <w:rsid w:val="003A5C6B"/>
    <w:rsid w:val="003A6B35"/>
    <w:rsid w:val="003A6BFC"/>
    <w:rsid w:val="003B6266"/>
    <w:rsid w:val="00411F17"/>
    <w:rsid w:val="00425034"/>
    <w:rsid w:val="00430EC9"/>
    <w:rsid w:val="00474B46"/>
    <w:rsid w:val="00480CC9"/>
    <w:rsid w:val="00483A9E"/>
    <w:rsid w:val="00485F5D"/>
    <w:rsid w:val="00487CB3"/>
    <w:rsid w:val="004908A9"/>
    <w:rsid w:val="004B755F"/>
    <w:rsid w:val="004B7C67"/>
    <w:rsid w:val="004D4A63"/>
    <w:rsid w:val="00512D05"/>
    <w:rsid w:val="00515BFC"/>
    <w:rsid w:val="00521D3A"/>
    <w:rsid w:val="005225A3"/>
    <w:rsid w:val="005278FA"/>
    <w:rsid w:val="00533888"/>
    <w:rsid w:val="00550B30"/>
    <w:rsid w:val="005561AE"/>
    <w:rsid w:val="00583AB3"/>
    <w:rsid w:val="00585711"/>
    <w:rsid w:val="005A69CD"/>
    <w:rsid w:val="005B6503"/>
    <w:rsid w:val="005B7D79"/>
    <w:rsid w:val="005C5088"/>
    <w:rsid w:val="005D7C8A"/>
    <w:rsid w:val="005E3027"/>
    <w:rsid w:val="005E5C63"/>
    <w:rsid w:val="005F437F"/>
    <w:rsid w:val="00622644"/>
    <w:rsid w:val="00624DE2"/>
    <w:rsid w:val="00630959"/>
    <w:rsid w:val="00652D02"/>
    <w:rsid w:val="006637F0"/>
    <w:rsid w:val="00667B4A"/>
    <w:rsid w:val="006C139D"/>
    <w:rsid w:val="007014FF"/>
    <w:rsid w:val="00716C5C"/>
    <w:rsid w:val="007206AF"/>
    <w:rsid w:val="0078166F"/>
    <w:rsid w:val="00791ACA"/>
    <w:rsid w:val="00797F39"/>
    <w:rsid w:val="007B1497"/>
    <w:rsid w:val="007E6E81"/>
    <w:rsid w:val="00821DE3"/>
    <w:rsid w:val="00840E4A"/>
    <w:rsid w:val="008600BF"/>
    <w:rsid w:val="0087601E"/>
    <w:rsid w:val="00895F09"/>
    <w:rsid w:val="008C4AF6"/>
    <w:rsid w:val="008D0898"/>
    <w:rsid w:val="008D287C"/>
    <w:rsid w:val="008F45A8"/>
    <w:rsid w:val="00917349"/>
    <w:rsid w:val="009511EC"/>
    <w:rsid w:val="009659D0"/>
    <w:rsid w:val="00967177"/>
    <w:rsid w:val="009809B4"/>
    <w:rsid w:val="009959B3"/>
    <w:rsid w:val="0099612F"/>
    <w:rsid w:val="00996294"/>
    <w:rsid w:val="009D317B"/>
    <w:rsid w:val="009E28C1"/>
    <w:rsid w:val="009F6AAE"/>
    <w:rsid w:val="009F6B15"/>
    <w:rsid w:val="00A043BF"/>
    <w:rsid w:val="00A057F1"/>
    <w:rsid w:val="00A16FF4"/>
    <w:rsid w:val="00A27CAD"/>
    <w:rsid w:val="00A33486"/>
    <w:rsid w:val="00A449C1"/>
    <w:rsid w:val="00A45FC1"/>
    <w:rsid w:val="00A52985"/>
    <w:rsid w:val="00A757CD"/>
    <w:rsid w:val="00A9236A"/>
    <w:rsid w:val="00AA1CBB"/>
    <w:rsid w:val="00AA7043"/>
    <w:rsid w:val="00AB60CB"/>
    <w:rsid w:val="00AC1030"/>
    <w:rsid w:val="00AC3D2F"/>
    <w:rsid w:val="00AF42BC"/>
    <w:rsid w:val="00B45201"/>
    <w:rsid w:val="00B464FB"/>
    <w:rsid w:val="00B8631A"/>
    <w:rsid w:val="00B927F7"/>
    <w:rsid w:val="00BA7CEB"/>
    <w:rsid w:val="00BC58B1"/>
    <w:rsid w:val="00BD0B8E"/>
    <w:rsid w:val="00BE2997"/>
    <w:rsid w:val="00C14102"/>
    <w:rsid w:val="00C47ACD"/>
    <w:rsid w:val="00C7160F"/>
    <w:rsid w:val="00CA3DA9"/>
    <w:rsid w:val="00CC107D"/>
    <w:rsid w:val="00CF7DC3"/>
    <w:rsid w:val="00D11FB5"/>
    <w:rsid w:val="00D25B40"/>
    <w:rsid w:val="00D4607B"/>
    <w:rsid w:val="00D64744"/>
    <w:rsid w:val="00D6547B"/>
    <w:rsid w:val="00D677A2"/>
    <w:rsid w:val="00D87FEB"/>
    <w:rsid w:val="00D92AE9"/>
    <w:rsid w:val="00D96CCB"/>
    <w:rsid w:val="00DD7A38"/>
    <w:rsid w:val="00E4637B"/>
    <w:rsid w:val="00E75B47"/>
    <w:rsid w:val="00E80465"/>
    <w:rsid w:val="00E804C9"/>
    <w:rsid w:val="00E94697"/>
    <w:rsid w:val="00EE015E"/>
    <w:rsid w:val="00EE07FF"/>
    <w:rsid w:val="00EE4EF9"/>
    <w:rsid w:val="00F37771"/>
    <w:rsid w:val="00F44B34"/>
    <w:rsid w:val="00F453FE"/>
    <w:rsid w:val="00F4580C"/>
    <w:rsid w:val="00F56B9A"/>
    <w:rsid w:val="00FA2405"/>
    <w:rsid w:val="00FF1A37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34A014-CE74-4472-B1C7-D44EBC38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015E"/>
    <w:pPr>
      <w:spacing w:after="0" w:line="240" w:lineRule="auto"/>
    </w:pPr>
    <w:rPr>
      <w:color w:val="FFFFFF" w:themeColor="background1"/>
    </w:rPr>
    <w:tblPr>
      <w:tblCellSpacing w:w="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tblCellSpacing w:w="20" w:type="dxa"/>
    </w:trPr>
    <w:tcPr>
      <w:shd w:val="clear" w:color="auto" w:fill="FFFFFF" w:themeFill="background1"/>
    </w:tcPr>
  </w:style>
  <w:style w:type="paragraph" w:styleId="Textodeglobo">
    <w:name w:val="Balloon Text"/>
    <w:basedOn w:val="Normal"/>
    <w:link w:val="TextodegloboCar"/>
    <w:uiPriority w:val="99"/>
    <w:semiHidden/>
    <w:unhideWhenUsed/>
    <w:rsid w:val="00F56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B9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56B9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16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C5C"/>
  </w:style>
  <w:style w:type="paragraph" w:styleId="Piedepgina">
    <w:name w:val="footer"/>
    <w:basedOn w:val="Normal"/>
    <w:link w:val="PiedepginaCar"/>
    <w:uiPriority w:val="99"/>
    <w:unhideWhenUsed/>
    <w:rsid w:val="00716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C5C"/>
  </w:style>
  <w:style w:type="table" w:styleId="Tabladecuadrcula1clara">
    <w:name w:val="Grid Table 1 Light"/>
    <w:basedOn w:val="Tablanormal"/>
    <w:uiPriority w:val="46"/>
    <w:rsid w:val="0027782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3">
    <w:name w:val="Plain Table 3"/>
    <w:basedOn w:val="Tablanormal"/>
    <w:uiPriority w:val="43"/>
    <w:rsid w:val="002F4231"/>
    <w:pPr>
      <w:spacing w:after="0" w:line="240" w:lineRule="auto"/>
    </w:pPr>
    <w:rPr>
      <w:rFonts w:eastAsiaTheme="minorEastAsia"/>
      <w:sz w:val="21"/>
      <w:szCs w:val="21"/>
      <w:lang w:val="es-419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2F4231"/>
    <w:pPr>
      <w:spacing w:after="160" w:line="312" w:lineRule="auto"/>
      <w:ind w:left="720"/>
      <w:contextualSpacing/>
    </w:pPr>
    <w:rPr>
      <w:rFonts w:eastAsiaTheme="minorEastAsia"/>
      <w:sz w:val="21"/>
      <w:szCs w:val="21"/>
      <w:lang w:val="es-419"/>
    </w:rPr>
  </w:style>
  <w:style w:type="character" w:styleId="Hipervnculo">
    <w:name w:val="Hyperlink"/>
    <w:basedOn w:val="Fuentedeprrafopredeter"/>
    <w:uiPriority w:val="99"/>
    <w:unhideWhenUsed/>
    <w:rsid w:val="0034670E"/>
    <w:rPr>
      <w:color w:val="0000FF" w:themeColor="hyperlink"/>
      <w:u w:val="single"/>
    </w:rPr>
  </w:style>
  <w:style w:type="table" w:styleId="Tabladecuadrcula5oscura-nfasis4">
    <w:name w:val="Grid Table 5 Dark Accent 4"/>
    <w:basedOn w:val="Tablanormal"/>
    <w:uiPriority w:val="50"/>
    <w:rsid w:val="00521D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normal31">
    <w:name w:val="Tabla normal 31"/>
    <w:basedOn w:val="Tablanormal"/>
    <w:uiPriority w:val="43"/>
    <w:rsid w:val="000B703E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00EC1-14E2-4FF2-BA00-A693F9CD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</dc:creator>
  <cp:lastModifiedBy>HP</cp:lastModifiedBy>
  <cp:revision>12</cp:revision>
  <cp:lastPrinted>2018-07-05T08:42:00Z</cp:lastPrinted>
  <dcterms:created xsi:type="dcterms:W3CDTF">2019-06-04T07:31:00Z</dcterms:created>
  <dcterms:modified xsi:type="dcterms:W3CDTF">2019-09-27T08:06:00Z</dcterms:modified>
</cp:coreProperties>
</file>