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rddbn4j8s7t5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David Ramos Moreno (dramos12@iesesteveterradas.cat)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v3wystjqkhw4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7fdi071l3dvp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Materials lliurats pel docent a través de correu electrònic.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kw8bu6t7ju35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SISTEMES DE GESTIÓ DOCUMENTAL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GESTIÓ INFORMATITZADA DE PROJECTES EMPRESARIALS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d3m3u1ncvxsm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18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Es realitzarà en una mateixa data, una prova escrita per cada Unitat Formativa matriculada</w:t>
      </w: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2100"/>
        <w:gridCol w:w="3105"/>
        <w:gridCol w:w="2820"/>
        <w:tblGridChange w:id="0">
          <w:tblGrid>
            <w:gridCol w:w="1380"/>
            <w:gridCol w:w="2100"/>
            <w:gridCol w:w="3105"/>
            <w:gridCol w:w="2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escrita teoricopràctica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20/11/2025 a les 10h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23/04/2026 a les 10h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20/11/2025 a les 12h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23/04/2026 a les 12h</w:t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subscript"/>
          <w:rtl w:val="0"/>
        </w:rPr>
        <w:t xml:space="preserve">MP10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= ⅓ * Q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subscript"/>
          <w:rtl w:val="0"/>
        </w:rPr>
        <w:t xml:space="preserve">UF1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+ ⅔ * Q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subscript"/>
          <w:rtl w:val="0"/>
        </w:rPr>
        <w:t xml:space="preserve">UF2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3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25-26</w:t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10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Assistència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a la Direcció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Gestió avançada de la informació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DCfzHTQh30U44tow5B3A9gDgw==">CgMxLjAyDmgucmRkYm40ajhzN3Q1Mg5oLnYzd3lzdGpxa2h3NDIOaC43ZmRpMDcxbDNkdnAyDmgua3c4YnU2dDdqdTM1Mg5oLmQzbTN1MW5jdnhzbTgAciExSWQ1LWItNDduUThyQmdFcG9OOUpKUElSVW9tQjJSVkU=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