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Salvador Fosalba (sfosalba@iesesteveterradas.cat)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Materials lliurats pel docent a través de correu electrònic.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COMPTABILITAT FINANCERA, FISCALITAT I AUDITORIA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COMPTABILITAT DE COSTOS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ANÀLISI COMPTABLE, PATRIMONIAL I FINANCERA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RECUPERACIÓ del MÒDUL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Es realitzarà en una mateixa data, una prova escrita per cada Unitat Formativa matriculada.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 teoricopràctica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30/04/2026 a les 10h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27/11/2025 a les 12h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30/04/2026 a les 12h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27/11/2025 a les 17h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30/04/2026 a les 17h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QMP09 = 0,56*QUF1 + 0,22*QUF2 + 0,22*QUF3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5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09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Comptabilitat i Fiscalitat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Ndbr3zneSf2tJ6F2BHsKzzh5w==">CgMxLjAyDmgucmRkYm40ajhzN3Q1Mg5oLnYzd3lzdGpxa2h3NDIOaC43ZmRpMDcxbDNkdnAyDmgua3c4YnU2dDdqdTM1Mg5oLmQzbTN1MW5jdnhzbTgAciExQzVuRTk1UjhrbHVva1N2SjZCOXkzZE9nb0RsUlA3VFo=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