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77dII963RRF9crFv69U6YkdZnQ==">AMUW2mX/85+KSea6pF/0ozM8XMEwXAhlqr/ZMhbsTKtJAEyxY75pC81pGHnGQAEnQ79it2v4kwZJqWHbindkK4RKL0msVYcq8zJ4DWIpGH0MDVaIhysnqL8=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