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SÈRIES DE PROBLEMES DE C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LCUL MENTAL EL QUINZET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NOM I 1r COGNOM: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DATA:_________________________________________________________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9.</w:t>
      </w: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7969"/>
        <w:tblGridChange w:id="0">
          <w:tblGrid>
            <w:gridCol w:w="675"/>
            <w:gridCol w:w="7969"/>
          </w:tblGrid>
        </w:tblGridChange>
      </w:tblGrid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0.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7969"/>
        <w:tblGridChange w:id="0">
          <w:tblGrid>
            <w:gridCol w:w="675"/>
            <w:gridCol w:w="7969"/>
          </w:tblGrid>
        </w:tblGridChange>
      </w:tblGrid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568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tjD3Ljg352tapG/LOfT7OJe5Ug==">AMUW2mU3gEMhHOT43MEE3nMF5GcxXhBl1lWut5sLjNNhRGP3EKb1GPFVvzJO2UuP2n7xiPw+iYzNdgxe8PYGD1nnwzSxZGWw1yCUvHLpvW00Q5/IZdSA8gI=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2019-10-02T13:17:00Z</dcterms:created>
  <dc:creator>Margaret</dc:creator>
</cp:coreProperties>
</file>