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ESCOLA LA FLORESTA</w:t>
        <w:tab/>
        <w:tab/>
        <w:tab/>
        <w:tab/>
        <w:tab/>
        <w:t xml:space="preserve">NOM: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redacció ha de començar amb el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títol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ja ho sabeu. Podeu explicar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quines coses feu per entretenir-vos, si feu manualitats, exercici, si ajudeu a algú de la família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 Podeu explicar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què sentiu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és a dir,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com us trobeu, què penseu sobre aquesta situació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 Podeu acabar explicant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quines coses positives esteu traient d’aquests dies de confinament a casa amb la famíli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a.</w:t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Recordeu, que la redacció ha de tenir com a mínim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100 paraules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ha d’estar organitzada en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paràgrafs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 També és convenient (i agradable per qui la llegeix) que feu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una petita decoració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797" w:right="179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mXnoL499lHuvnuR7O44KabCyYA==">AMUW2mURKgV26JX02oRGyUdmzYnF5a241HqTl11LqMf9D0JhmDxUnZGOejHXY+AHaDUeru5Ewv+8dAXGLErNOD0KWeO2aNamlMDBGLVoFygOcWRfqXWAjCQ=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