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a4c2f4"/>
        </w:rPr>
      </w:pPr>
      <w:r w:rsidDel="00000000" w:rsidR="00000000" w:rsidRPr="00000000">
        <w:rPr>
          <w:b w:val="1"/>
          <w:color w:val="76a5af"/>
          <w:sz w:val="36"/>
          <w:szCs w:val="36"/>
          <w:rtl w:val="0"/>
        </w:rPr>
        <w:t xml:space="preserve">GRAELLA D’AUTOAVALUACIÓ</w:t>
      </w:r>
      <w:r w:rsidDel="00000000" w:rsidR="00000000" w:rsidRPr="00000000">
        <w:rPr>
          <w:color w:val="a4c2f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4 A L’11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(omple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perquè? Quant de temps hi has estat?)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 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Coneixement Medi Social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retorn-mail)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Física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retorn-mail)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